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</w:p>
    <w:p w:rsidR="000F1917" w:rsidRPr="000F1917" w:rsidRDefault="000F1917" w:rsidP="000F1917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lang w:val="es-ES_tradnl"/>
        </w:rPr>
      </w:pPr>
      <w:r w:rsidRPr="000F1917">
        <w:rPr>
          <w:b/>
          <w:lang w:val="es-ES_tradnl"/>
        </w:rPr>
        <w:t xml:space="preserve">SERIE ARROYO NOGOYÁ                     </w:t>
      </w:r>
      <w:r>
        <w:rPr>
          <w:b/>
          <w:lang w:val="es-ES_tradnl"/>
        </w:rPr>
        <w:t xml:space="preserve">     </w:t>
      </w:r>
      <w:r w:rsidRPr="000F1917">
        <w:rPr>
          <w:b/>
          <w:lang w:val="es-ES_tradnl"/>
        </w:rPr>
        <w:t xml:space="preserve">                                             </w:t>
      </w:r>
      <w:r w:rsidRPr="000F1917">
        <w:rPr>
          <w:lang w:val="es-ES_tradnl"/>
        </w:rPr>
        <w:t xml:space="preserve"> Símbolo: </w:t>
      </w:r>
      <w:proofErr w:type="spellStart"/>
      <w:r w:rsidRPr="000F1917">
        <w:rPr>
          <w:b/>
          <w:lang w:val="es-ES_tradnl"/>
        </w:rPr>
        <w:t>ANog</w:t>
      </w:r>
      <w:proofErr w:type="spellEnd"/>
    </w:p>
    <w:p w:rsidR="000F1917" w:rsidRPr="000F1917" w:rsidRDefault="000F1917" w:rsidP="000F1917">
      <w:pPr>
        <w:tabs>
          <w:tab w:val="left" w:pos="9071"/>
        </w:tabs>
        <w:rPr>
          <w:sz w:val="22"/>
          <w:szCs w:val="22"/>
          <w:lang w:val="es-ES_tradnl"/>
        </w:rPr>
      </w:pP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</w:p>
    <w:p w:rsidR="000F1917" w:rsidRPr="000F1917" w:rsidRDefault="000F1917" w:rsidP="000F1917">
      <w:pPr>
        <w:tabs>
          <w:tab w:val="right" w:pos="9071"/>
        </w:tabs>
        <w:jc w:val="both"/>
        <w:rPr>
          <w:sz w:val="22"/>
          <w:szCs w:val="22"/>
          <w:lang w:val="es-ES_tradnl"/>
        </w:rPr>
      </w:pPr>
      <w:r w:rsidRPr="000F1917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0F1917">
        <w:rPr>
          <w:sz w:val="22"/>
          <w:szCs w:val="22"/>
          <w:lang w:val="es-ES_tradnl"/>
        </w:rPr>
        <w:t>montmorillonítica</w:t>
      </w:r>
      <w:proofErr w:type="spellEnd"/>
      <w:r w:rsidRPr="000F1917">
        <w:rPr>
          <w:sz w:val="22"/>
          <w:szCs w:val="22"/>
          <w:lang w:val="es-ES_tradnl"/>
        </w:rPr>
        <w:t xml:space="preserve">, no calcárea, térmica" de los </w:t>
      </w:r>
      <w:proofErr w:type="spellStart"/>
      <w:r w:rsidRPr="000F1917">
        <w:rPr>
          <w:sz w:val="22"/>
          <w:szCs w:val="22"/>
          <w:u w:val="single"/>
          <w:lang w:val="es-ES_tradnl"/>
        </w:rPr>
        <w:t>Argiacuoles</w:t>
      </w:r>
      <w:proofErr w:type="spellEnd"/>
      <w:r w:rsidRPr="000F1917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0F1917">
        <w:rPr>
          <w:sz w:val="22"/>
          <w:szCs w:val="22"/>
          <w:u w:val="single"/>
          <w:lang w:val="es-ES_tradnl"/>
        </w:rPr>
        <w:t>vérticos</w:t>
      </w:r>
      <w:proofErr w:type="spellEnd"/>
      <w:r w:rsidRPr="000F1917">
        <w:rPr>
          <w:sz w:val="22"/>
          <w:szCs w:val="22"/>
          <w:lang w:val="es-ES_tradnl"/>
        </w:rPr>
        <w:t>.</w:t>
      </w: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  <w:r w:rsidRPr="000F1917">
        <w:rPr>
          <w:sz w:val="22"/>
          <w:szCs w:val="22"/>
          <w:lang w:val="es-ES_tradnl"/>
        </w:rPr>
        <w:t xml:space="preserve">Suelos desarrollados en materiales </w:t>
      </w:r>
      <w:proofErr w:type="spellStart"/>
      <w:r w:rsidRPr="000F1917">
        <w:rPr>
          <w:sz w:val="22"/>
          <w:szCs w:val="22"/>
          <w:lang w:val="es-ES_tradnl"/>
        </w:rPr>
        <w:t>loessoides</w:t>
      </w:r>
      <w:proofErr w:type="spellEnd"/>
      <w:r w:rsidRPr="000F1917">
        <w:rPr>
          <w:sz w:val="22"/>
          <w:szCs w:val="22"/>
          <w:lang w:val="es-ES_tradnl"/>
        </w:rPr>
        <w:t xml:space="preserve"> </w:t>
      </w:r>
      <w:proofErr w:type="spellStart"/>
      <w:r w:rsidRPr="000F1917">
        <w:rPr>
          <w:sz w:val="22"/>
          <w:szCs w:val="22"/>
          <w:lang w:val="es-ES_tradnl"/>
        </w:rPr>
        <w:t>gleizados</w:t>
      </w:r>
      <w:proofErr w:type="spellEnd"/>
      <w:r w:rsidRPr="000F1917">
        <w:rPr>
          <w:sz w:val="22"/>
          <w:szCs w:val="22"/>
          <w:lang w:val="es-ES_tradnl"/>
        </w:rPr>
        <w:t xml:space="preserve">, probablemente mezclados con materiales lacustres, de </w:t>
      </w:r>
      <w:proofErr w:type="gramStart"/>
      <w:r w:rsidRPr="000F1917">
        <w:rPr>
          <w:sz w:val="22"/>
          <w:szCs w:val="22"/>
          <w:lang w:val="es-ES_tradnl"/>
        </w:rPr>
        <w:t>textura arcillo-limosa, profundos</w:t>
      </w:r>
      <w:proofErr w:type="gramEnd"/>
      <w:r w:rsidRPr="000F1917">
        <w:rPr>
          <w:sz w:val="22"/>
          <w:szCs w:val="22"/>
          <w:lang w:val="es-ES_tradnl"/>
        </w:rPr>
        <w:t>, de colores oscuros, imperfectamente drenados y completamente descarbonatados. Se encuentran en las partes bajas y cóncavas de las pendientes, con exceso de agua después de cada lluvia.</w:t>
      </w: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  <w:r w:rsidRPr="000F1917">
        <w:rPr>
          <w:b/>
          <w:sz w:val="22"/>
          <w:szCs w:val="22"/>
          <w:lang w:val="es-ES_tradnl"/>
        </w:rPr>
        <w:t>Perfil tipo</w:t>
      </w:r>
      <w:r w:rsidRPr="000F1917">
        <w:rPr>
          <w:sz w:val="22"/>
          <w:szCs w:val="22"/>
          <w:u w:val="single"/>
          <w:lang w:val="es-ES_tradnl"/>
        </w:rPr>
        <w:t>:</w:t>
      </w:r>
      <w:r w:rsidRPr="000F1917">
        <w:rPr>
          <w:sz w:val="22"/>
          <w:szCs w:val="22"/>
          <w:lang w:val="es-ES_tradnl"/>
        </w:rPr>
        <w:t xml:space="preserve"> ER1-84C</w:t>
      </w: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  <w:r w:rsidRPr="000F1917">
        <w:rPr>
          <w:b/>
          <w:sz w:val="22"/>
          <w:szCs w:val="22"/>
          <w:lang w:val="es-ES_tradnl"/>
        </w:rPr>
        <w:t>Fecha</w:t>
      </w:r>
      <w:r w:rsidRPr="000F1917">
        <w:rPr>
          <w:sz w:val="22"/>
          <w:szCs w:val="22"/>
          <w:lang w:val="es-ES_tradnl"/>
        </w:rPr>
        <w:t>: 22-X-1992</w:t>
      </w: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  <w:r w:rsidRPr="000F1917">
        <w:rPr>
          <w:b/>
          <w:sz w:val="22"/>
          <w:szCs w:val="22"/>
          <w:lang w:val="es-ES_tradnl"/>
        </w:rPr>
        <w:t>Ubicación</w:t>
      </w:r>
      <w:r w:rsidRPr="000F1917">
        <w:rPr>
          <w:sz w:val="22"/>
          <w:szCs w:val="22"/>
          <w:lang w:val="es-ES_tradnl"/>
        </w:rPr>
        <w:t>: Foto IR 420-74, dto. 5º Sauce - Dpto. Gualeguay.</w:t>
      </w: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  <w:r w:rsidRPr="000F1917">
        <w:rPr>
          <w:b/>
          <w:sz w:val="22"/>
          <w:szCs w:val="22"/>
          <w:lang w:val="es-ES_tradnl"/>
        </w:rPr>
        <w:t>Reconocedores</w:t>
      </w:r>
      <w:r w:rsidRPr="000F1917">
        <w:rPr>
          <w:sz w:val="22"/>
          <w:szCs w:val="22"/>
          <w:lang w:val="es-ES_tradnl"/>
        </w:rPr>
        <w:t xml:space="preserve">: O.A. </w:t>
      </w:r>
      <w:proofErr w:type="spellStart"/>
      <w:r w:rsidRPr="000F1917">
        <w:rPr>
          <w:sz w:val="22"/>
          <w:szCs w:val="22"/>
          <w:lang w:val="es-ES_tradnl"/>
        </w:rPr>
        <w:t>Foti</w:t>
      </w:r>
      <w:proofErr w:type="spellEnd"/>
      <w:r w:rsidRPr="000F1917">
        <w:rPr>
          <w:sz w:val="22"/>
          <w:szCs w:val="22"/>
          <w:lang w:val="es-ES_tradnl"/>
        </w:rPr>
        <w:t>; R.H. Fuentes.</w:t>
      </w: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</w:p>
    <w:p w:rsidR="000F1917" w:rsidRPr="000F1917" w:rsidRDefault="000F1917" w:rsidP="000F191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F1917">
        <w:rPr>
          <w:b/>
          <w:sz w:val="22"/>
          <w:szCs w:val="22"/>
          <w:lang w:val="es-ES_tradnl"/>
        </w:rPr>
        <w:t>A11</w:t>
      </w:r>
      <w:r w:rsidRPr="000F1917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F1917">
        <w:rPr>
          <w:sz w:val="22"/>
          <w:szCs w:val="22"/>
          <w:lang w:val="es-ES_tradnl"/>
        </w:rPr>
        <w:t xml:space="preserve">00-20 cm; gris oscuro (10YR 4/1) en húmedo, gris muy oscuro (10YR 3/1) en seco; franco- arcillo-limoso; estructura en bloques </w:t>
      </w:r>
      <w:proofErr w:type="spellStart"/>
      <w:r w:rsidRPr="000F1917">
        <w:rPr>
          <w:sz w:val="22"/>
          <w:szCs w:val="22"/>
          <w:lang w:val="es-ES_tradnl"/>
        </w:rPr>
        <w:t>subangulares</w:t>
      </w:r>
      <w:proofErr w:type="spellEnd"/>
      <w:r w:rsidRPr="000F1917">
        <w:rPr>
          <w:sz w:val="22"/>
          <w:szCs w:val="22"/>
          <w:lang w:val="es-ES_tradnl"/>
        </w:rPr>
        <w:t xml:space="preserve"> medios, moderados; ligeramente duro en seco; firme en húmedo; barnices ("</w:t>
      </w:r>
      <w:proofErr w:type="spellStart"/>
      <w:r w:rsidRPr="000F1917">
        <w:rPr>
          <w:sz w:val="22"/>
          <w:szCs w:val="22"/>
          <w:lang w:val="es-ES_tradnl"/>
        </w:rPr>
        <w:t>humic-skins</w:t>
      </w:r>
      <w:proofErr w:type="spellEnd"/>
      <w:r w:rsidRPr="000F1917">
        <w:rPr>
          <w:sz w:val="22"/>
          <w:szCs w:val="22"/>
          <w:lang w:val="es-ES_tradnl"/>
        </w:rPr>
        <w:t>") comunes a abundantes; moteados de hierro-manganeso abundantes, finos y precisos; límite claro, suave.</w:t>
      </w: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</w:p>
    <w:p w:rsidR="000F1917" w:rsidRPr="000F1917" w:rsidRDefault="000F1917" w:rsidP="000F191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F1917">
        <w:rPr>
          <w:b/>
          <w:sz w:val="22"/>
          <w:szCs w:val="22"/>
          <w:lang w:val="es-ES_tradnl"/>
        </w:rPr>
        <w:t>A12</w:t>
      </w:r>
      <w:r w:rsidRPr="000F1917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F1917">
        <w:rPr>
          <w:sz w:val="22"/>
          <w:szCs w:val="22"/>
          <w:lang w:val="es-ES_tradnl"/>
        </w:rPr>
        <w:t xml:space="preserve">20-40 cm; negro (10YR 2/1) en húmedo; franco; estructura granular y en bloques </w:t>
      </w:r>
      <w:proofErr w:type="spellStart"/>
      <w:r w:rsidRPr="000F1917">
        <w:rPr>
          <w:sz w:val="22"/>
          <w:szCs w:val="22"/>
          <w:lang w:val="es-ES_tradnl"/>
        </w:rPr>
        <w:t>subangulares</w:t>
      </w:r>
      <w:proofErr w:type="spellEnd"/>
      <w:r w:rsidRPr="000F1917">
        <w:rPr>
          <w:sz w:val="22"/>
          <w:szCs w:val="22"/>
          <w:lang w:val="es-ES_tradnl"/>
        </w:rPr>
        <w:t xml:space="preserve"> medios, moderados; ligeramente duro en seco, friable en húmedo; barnices ("</w:t>
      </w:r>
      <w:proofErr w:type="spellStart"/>
      <w:r w:rsidRPr="000F1917">
        <w:rPr>
          <w:sz w:val="22"/>
          <w:szCs w:val="22"/>
          <w:lang w:val="es-ES_tradnl"/>
        </w:rPr>
        <w:t>humic-skins</w:t>
      </w:r>
      <w:proofErr w:type="spellEnd"/>
      <w:r w:rsidRPr="000F1917">
        <w:rPr>
          <w:sz w:val="22"/>
          <w:szCs w:val="22"/>
          <w:lang w:val="es-ES_tradnl"/>
        </w:rPr>
        <w:t>") comunes; moteados de hierro-manganeso, comunes, finos y precisos; concreciones de hierro-manganeso escasas; límite abrupto, suave.</w:t>
      </w: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</w:p>
    <w:p w:rsidR="000F1917" w:rsidRPr="000F1917" w:rsidRDefault="000F1917" w:rsidP="000F191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F1917">
        <w:rPr>
          <w:b/>
          <w:sz w:val="22"/>
          <w:szCs w:val="22"/>
          <w:lang w:val="es-ES_tradnl"/>
        </w:rPr>
        <w:t>B21t</w:t>
      </w:r>
      <w:r w:rsidRPr="000F1917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F1917">
        <w:rPr>
          <w:sz w:val="22"/>
          <w:szCs w:val="22"/>
          <w:lang w:val="es-ES_tradnl"/>
        </w:rPr>
        <w:t>40-60 cm; gris muy oscuro (10YR 3/1) en húmedo; arcilloso; estructura en prismas compuestos irregulares gruesos, moderados, que rompen en bloques angulares irregulares con tendencia  cuneiformes medios, moderados; muy duro en seco, firme en húmedo; caras de fricción ("</w:t>
      </w:r>
      <w:proofErr w:type="spellStart"/>
      <w:r w:rsidRPr="000F1917">
        <w:rPr>
          <w:sz w:val="22"/>
          <w:szCs w:val="22"/>
          <w:lang w:val="es-ES_tradnl"/>
        </w:rPr>
        <w:t>slickensides</w:t>
      </w:r>
      <w:proofErr w:type="spellEnd"/>
      <w:r w:rsidRPr="000F1917">
        <w:rPr>
          <w:sz w:val="22"/>
          <w:szCs w:val="22"/>
          <w:lang w:val="es-ES_tradnl"/>
        </w:rPr>
        <w:t>") comunes, medias; moteados de hierro-manganeso abundantes, finos y precisos; escasas a comunes concreciones de hierro-manganeso; límite claro, suave.</w:t>
      </w: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</w:p>
    <w:p w:rsidR="000F1917" w:rsidRPr="000F1917" w:rsidRDefault="000F1917" w:rsidP="000F191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F1917">
        <w:rPr>
          <w:b/>
          <w:sz w:val="22"/>
          <w:szCs w:val="22"/>
          <w:lang w:val="es-ES_tradnl"/>
        </w:rPr>
        <w:t>B22t</w:t>
      </w:r>
      <w:r w:rsidRPr="000F1917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F1917">
        <w:rPr>
          <w:sz w:val="22"/>
          <w:szCs w:val="22"/>
          <w:lang w:val="es-ES_tradnl"/>
        </w:rPr>
        <w:t>60-90 cm; pardo grisáceo oscuro (10YR 4/2) en húmedo; arcillo-limoso; estructura en prismas compuestos irregulares gruesos, débiles, que rompen en bloques cuneiformes medios, moderados; duro en seco, firme en húmedo; caras de fricción ("</w:t>
      </w:r>
      <w:proofErr w:type="spellStart"/>
      <w:r w:rsidRPr="000F1917">
        <w:rPr>
          <w:sz w:val="22"/>
          <w:szCs w:val="22"/>
          <w:lang w:val="es-ES_tradnl"/>
        </w:rPr>
        <w:t>slickensides</w:t>
      </w:r>
      <w:proofErr w:type="spellEnd"/>
      <w:r w:rsidRPr="000F1917">
        <w:rPr>
          <w:sz w:val="22"/>
          <w:szCs w:val="22"/>
          <w:lang w:val="es-ES_tradnl"/>
        </w:rPr>
        <w:t>") abundantes, medias; moteados de hierro-manganeso abundantes, finos y precisos; concreciones de hierro-manganeso escasas; límite claro, suave.</w:t>
      </w: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</w:p>
    <w:p w:rsidR="000F1917" w:rsidRPr="000F1917" w:rsidRDefault="000F1917" w:rsidP="000F1917">
      <w:pPr>
        <w:pStyle w:val="Sangra3detindependiente"/>
        <w:ind w:left="0" w:firstLine="0"/>
        <w:rPr>
          <w:sz w:val="22"/>
          <w:szCs w:val="22"/>
        </w:rPr>
      </w:pPr>
      <w:r w:rsidRPr="000F1917">
        <w:rPr>
          <w:b/>
          <w:sz w:val="22"/>
          <w:szCs w:val="22"/>
        </w:rPr>
        <w:t>B3</w:t>
      </w:r>
      <w:r w:rsidRPr="000F191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0F1917">
        <w:rPr>
          <w:sz w:val="22"/>
          <w:szCs w:val="22"/>
        </w:rPr>
        <w:t>90-113 cm; pardo oscuro (7.5YR 3/4) en húmedo; arcillo-limoso; estructura en prismas compuestos irregulares medios, débiles, que rompen en bloques angulares irregulares con tendencia cuneiforme medios, moderados; ligeramente duro en seco, friable en húmedo; caras de fricción ("</w:t>
      </w:r>
      <w:proofErr w:type="spellStart"/>
      <w:r w:rsidRPr="000F1917">
        <w:rPr>
          <w:sz w:val="22"/>
          <w:szCs w:val="22"/>
        </w:rPr>
        <w:t>slickensides</w:t>
      </w:r>
      <w:proofErr w:type="spellEnd"/>
      <w:r w:rsidRPr="000F1917">
        <w:rPr>
          <w:sz w:val="22"/>
          <w:szCs w:val="22"/>
        </w:rPr>
        <w:t>") comunes a abundantes; moteados de hierro-manganeso comunes, finos y precisos; escasas concreciones de hierro-manganeso; límite claro, suave.</w:t>
      </w: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  <w:r w:rsidRPr="000F1917">
        <w:rPr>
          <w:b/>
          <w:sz w:val="22"/>
          <w:szCs w:val="22"/>
          <w:lang w:val="es-ES_tradnl"/>
        </w:rPr>
        <w:t>C</w:t>
      </w:r>
      <w:r w:rsidRPr="000F1917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F1917">
        <w:rPr>
          <w:sz w:val="22"/>
          <w:szCs w:val="22"/>
          <w:lang w:val="es-ES_tradnl"/>
        </w:rPr>
        <w:t>113 cm+; pardo a pardo oscuro (7.5YR 4/4) en húmedo; franco-arcillo-limoso; estructura en  bloques cuneiformes gruesos, débiles; ligeramente duro en seco, friable en húmedo; caras de fricción ("</w:t>
      </w:r>
      <w:proofErr w:type="spellStart"/>
      <w:r w:rsidRPr="000F1917">
        <w:rPr>
          <w:sz w:val="22"/>
          <w:szCs w:val="22"/>
          <w:lang w:val="es-ES_tradnl"/>
        </w:rPr>
        <w:t>slickensides</w:t>
      </w:r>
      <w:proofErr w:type="spellEnd"/>
      <w:r w:rsidRPr="000F1917">
        <w:rPr>
          <w:sz w:val="22"/>
          <w:szCs w:val="22"/>
          <w:lang w:val="es-ES_tradnl"/>
        </w:rPr>
        <w:t xml:space="preserve">") comunes a abundantes, gruesas, algo </w:t>
      </w:r>
      <w:proofErr w:type="spellStart"/>
      <w:r w:rsidRPr="000F1917">
        <w:rPr>
          <w:sz w:val="22"/>
          <w:szCs w:val="22"/>
          <w:lang w:val="es-ES_tradnl"/>
        </w:rPr>
        <w:t>gleizadas</w:t>
      </w:r>
      <w:proofErr w:type="spellEnd"/>
      <w:r w:rsidRPr="000F1917">
        <w:rPr>
          <w:sz w:val="22"/>
          <w:szCs w:val="22"/>
          <w:lang w:val="es-ES_tradnl"/>
        </w:rPr>
        <w:t>; moteados de hierro-manganeso abundantes, finos y precisos.</w:t>
      </w: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</w:p>
    <w:p w:rsidR="000F1917" w:rsidRPr="000F1917" w:rsidRDefault="000F1917" w:rsidP="000F1917">
      <w:pPr>
        <w:jc w:val="both"/>
        <w:rPr>
          <w:b/>
          <w:sz w:val="22"/>
          <w:szCs w:val="22"/>
          <w:lang w:val="es-ES_tradnl"/>
        </w:rPr>
      </w:pPr>
      <w:r w:rsidRPr="000F1917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  <w:r w:rsidRPr="000F1917">
        <w:rPr>
          <w:sz w:val="22"/>
          <w:szCs w:val="22"/>
          <w:lang w:val="es-ES_tradnl"/>
        </w:rPr>
        <w:t xml:space="preserve">El </w:t>
      </w:r>
      <w:proofErr w:type="spellStart"/>
      <w:r w:rsidRPr="000F1917">
        <w:rPr>
          <w:sz w:val="22"/>
          <w:szCs w:val="22"/>
          <w:lang w:val="es-ES_tradnl"/>
        </w:rPr>
        <w:t>solum</w:t>
      </w:r>
      <w:proofErr w:type="spellEnd"/>
      <w:r w:rsidRPr="000F1917">
        <w:rPr>
          <w:sz w:val="22"/>
          <w:szCs w:val="22"/>
          <w:lang w:val="es-ES_tradnl"/>
        </w:rPr>
        <w:t xml:space="preserve"> tiene una profundidad de 110-125 cm y comprende un </w:t>
      </w:r>
      <w:proofErr w:type="spellStart"/>
      <w:r w:rsidRPr="000F1917">
        <w:rPr>
          <w:sz w:val="22"/>
          <w:szCs w:val="22"/>
          <w:lang w:val="es-ES_tradnl"/>
        </w:rPr>
        <w:t>epipedón</w:t>
      </w:r>
      <w:proofErr w:type="spellEnd"/>
      <w:r w:rsidRPr="000F1917">
        <w:rPr>
          <w:sz w:val="22"/>
          <w:szCs w:val="22"/>
          <w:lang w:val="es-ES_tradnl"/>
        </w:rPr>
        <w:t xml:space="preserve"> </w:t>
      </w:r>
      <w:proofErr w:type="spellStart"/>
      <w:r w:rsidRPr="000F1917">
        <w:rPr>
          <w:sz w:val="22"/>
          <w:szCs w:val="22"/>
          <w:lang w:val="es-ES_tradnl"/>
        </w:rPr>
        <w:t>mólico</w:t>
      </w:r>
      <w:proofErr w:type="spellEnd"/>
      <w:r w:rsidRPr="000F1917">
        <w:rPr>
          <w:sz w:val="22"/>
          <w:szCs w:val="22"/>
          <w:lang w:val="es-ES_tradnl"/>
        </w:rPr>
        <w:t xml:space="preserve"> bien desarrollado de 40-45 cm de espesor y textura franco-arcillo-limosa a franca, seguido de un horizonte </w:t>
      </w:r>
      <w:proofErr w:type="spellStart"/>
      <w:r w:rsidRPr="000F1917">
        <w:rPr>
          <w:sz w:val="22"/>
          <w:szCs w:val="22"/>
          <w:lang w:val="es-ES_tradnl"/>
        </w:rPr>
        <w:t>argílico</w:t>
      </w:r>
      <w:proofErr w:type="spellEnd"/>
      <w:r w:rsidRPr="000F1917">
        <w:rPr>
          <w:sz w:val="22"/>
          <w:szCs w:val="22"/>
          <w:lang w:val="es-ES_tradnl"/>
        </w:rPr>
        <w:t xml:space="preserve"> de 52-55 cm de espesor y de textura arcillo-limosa pesada (43-48% de arcilla) y está fuertemente estructurado, con prismas compuestos irregulares que rompen en bloques cuneiformes y con abundantes caras de fricción ("</w:t>
      </w:r>
      <w:proofErr w:type="spellStart"/>
      <w:r w:rsidRPr="000F1917">
        <w:rPr>
          <w:sz w:val="22"/>
          <w:szCs w:val="22"/>
          <w:lang w:val="es-ES_tradnl"/>
        </w:rPr>
        <w:t>slickensides</w:t>
      </w:r>
      <w:proofErr w:type="spellEnd"/>
      <w:r w:rsidRPr="000F1917">
        <w:rPr>
          <w:sz w:val="22"/>
          <w:szCs w:val="22"/>
          <w:lang w:val="es-ES_tradnl"/>
        </w:rPr>
        <w:t xml:space="preserve">") medias e intersectados. Hasta la profundidad de 95 cm se destaca la presencia de arena gruesa en las caras de los agregados, debido a aportes selectivos del arroyo </w:t>
      </w:r>
      <w:proofErr w:type="spellStart"/>
      <w:r w:rsidRPr="000F1917">
        <w:rPr>
          <w:sz w:val="22"/>
          <w:szCs w:val="22"/>
          <w:lang w:val="es-ES_tradnl"/>
        </w:rPr>
        <w:t>Nogoyá</w:t>
      </w:r>
      <w:proofErr w:type="spellEnd"/>
      <w:r w:rsidRPr="000F1917">
        <w:rPr>
          <w:sz w:val="22"/>
          <w:szCs w:val="22"/>
          <w:lang w:val="es-ES_tradnl"/>
        </w:rPr>
        <w:t>.</w:t>
      </w: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  <w:r w:rsidRPr="000F1917">
        <w:rPr>
          <w:sz w:val="22"/>
          <w:szCs w:val="22"/>
          <w:lang w:val="es-ES_tradnl"/>
        </w:rPr>
        <w:t xml:space="preserve">El horizonte B3 tiene 40-42% de arcilla y un espesor de 20-30 cm; todo el perfil presenta moteados comunes a abundantes, con concreciones </w:t>
      </w:r>
      <w:proofErr w:type="spellStart"/>
      <w:r w:rsidRPr="000F1917">
        <w:rPr>
          <w:sz w:val="22"/>
          <w:szCs w:val="22"/>
          <w:lang w:val="es-ES_tradnl"/>
        </w:rPr>
        <w:t>ferromanganesíferas</w:t>
      </w:r>
      <w:proofErr w:type="spellEnd"/>
      <w:r w:rsidRPr="000F1917">
        <w:rPr>
          <w:sz w:val="22"/>
          <w:szCs w:val="22"/>
          <w:lang w:val="es-ES_tradnl"/>
        </w:rPr>
        <w:t xml:space="preserve"> prácticamente desde la superficie. No contiene carbonatos libres ni en forma </w:t>
      </w:r>
      <w:proofErr w:type="spellStart"/>
      <w:r w:rsidRPr="000F1917">
        <w:rPr>
          <w:sz w:val="22"/>
          <w:szCs w:val="22"/>
          <w:lang w:val="es-ES_tradnl"/>
        </w:rPr>
        <w:t>concrecionaria</w:t>
      </w:r>
      <w:proofErr w:type="spellEnd"/>
      <w:r w:rsidRPr="000F1917">
        <w:rPr>
          <w:sz w:val="22"/>
          <w:szCs w:val="22"/>
          <w:lang w:val="es-ES_tradnl"/>
        </w:rPr>
        <w:t>.</w:t>
      </w: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  <w:r w:rsidRPr="000F1917">
        <w:rPr>
          <w:sz w:val="22"/>
          <w:szCs w:val="22"/>
          <w:lang w:val="es-ES_tradnl"/>
        </w:rPr>
        <w:t xml:space="preserve">El horizonte C, de color pardo, está </w:t>
      </w:r>
      <w:proofErr w:type="spellStart"/>
      <w:r w:rsidRPr="000F1917">
        <w:rPr>
          <w:sz w:val="22"/>
          <w:szCs w:val="22"/>
          <w:lang w:val="es-ES_tradnl"/>
        </w:rPr>
        <w:t>gleizado</w:t>
      </w:r>
      <w:proofErr w:type="spellEnd"/>
      <w:r w:rsidRPr="000F1917">
        <w:rPr>
          <w:sz w:val="22"/>
          <w:szCs w:val="22"/>
          <w:lang w:val="es-ES_tradnl"/>
        </w:rPr>
        <w:t xml:space="preserve"> por efecto de una </w:t>
      </w:r>
      <w:proofErr w:type="spellStart"/>
      <w:r w:rsidRPr="000F1917">
        <w:rPr>
          <w:sz w:val="22"/>
          <w:szCs w:val="22"/>
          <w:lang w:val="es-ES_tradnl"/>
        </w:rPr>
        <w:t>napa</w:t>
      </w:r>
      <w:proofErr w:type="spellEnd"/>
      <w:r w:rsidRPr="000F1917">
        <w:rPr>
          <w:sz w:val="22"/>
          <w:szCs w:val="22"/>
          <w:lang w:val="es-ES_tradnl"/>
        </w:rPr>
        <w:t xml:space="preserve"> freática que se encuentra aproximadamente a 100 cm de profundidad. Tiene una estructura cuneiforme gruesa, con abundantes caras de fricción gruesas e intersectadas.</w:t>
      </w:r>
    </w:p>
    <w:p w:rsidR="000F1917" w:rsidRDefault="000F1917" w:rsidP="000F1917">
      <w:pPr>
        <w:jc w:val="both"/>
        <w:rPr>
          <w:sz w:val="22"/>
          <w:szCs w:val="22"/>
          <w:lang w:val="es-ES_tradnl"/>
        </w:rPr>
      </w:pP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</w:p>
    <w:p w:rsidR="000F1917" w:rsidRPr="000F1917" w:rsidRDefault="000F1917" w:rsidP="000F1917">
      <w:pPr>
        <w:jc w:val="both"/>
        <w:rPr>
          <w:b/>
          <w:sz w:val="22"/>
          <w:szCs w:val="22"/>
          <w:lang w:val="es-ES_tradnl"/>
        </w:rPr>
      </w:pPr>
      <w:r w:rsidRPr="000F1917">
        <w:rPr>
          <w:b/>
          <w:sz w:val="22"/>
          <w:szCs w:val="22"/>
          <w:u w:val="single"/>
          <w:lang w:val="es-ES_tradnl"/>
        </w:rPr>
        <w:t>Fases</w:t>
      </w: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  <w:r w:rsidRPr="000F1917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0F1917">
        <w:rPr>
          <w:sz w:val="22"/>
          <w:szCs w:val="22"/>
          <w:lang w:val="es-ES_tradnl"/>
        </w:rPr>
        <w:t>Nogoyá</w:t>
      </w:r>
      <w:proofErr w:type="spellEnd"/>
      <w:r w:rsidRPr="000F1917">
        <w:rPr>
          <w:sz w:val="22"/>
          <w:szCs w:val="22"/>
          <w:lang w:val="es-ES_tradnl"/>
        </w:rPr>
        <w:t xml:space="preserve"> </w:t>
      </w:r>
    </w:p>
    <w:p w:rsidR="000F1917" w:rsidRDefault="000F1917" w:rsidP="000F1917">
      <w:pPr>
        <w:jc w:val="both"/>
        <w:rPr>
          <w:sz w:val="22"/>
          <w:szCs w:val="22"/>
          <w:u w:val="single"/>
          <w:lang w:val="es-ES_tradnl"/>
        </w:rPr>
      </w:pPr>
    </w:p>
    <w:p w:rsidR="000F1917" w:rsidRPr="000F1917" w:rsidRDefault="000F1917" w:rsidP="000F1917">
      <w:pPr>
        <w:jc w:val="both"/>
        <w:rPr>
          <w:sz w:val="22"/>
          <w:szCs w:val="22"/>
          <w:u w:val="single"/>
          <w:lang w:val="es-ES_tradnl"/>
        </w:rPr>
      </w:pPr>
    </w:p>
    <w:p w:rsidR="000F1917" w:rsidRPr="000F1917" w:rsidRDefault="000F1917" w:rsidP="000F1917">
      <w:pPr>
        <w:jc w:val="both"/>
        <w:rPr>
          <w:b/>
          <w:sz w:val="22"/>
          <w:szCs w:val="22"/>
          <w:lang w:val="es-ES_tradnl"/>
        </w:rPr>
      </w:pPr>
      <w:r w:rsidRPr="000F1917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  <w:r w:rsidRPr="000F1917">
        <w:rPr>
          <w:sz w:val="22"/>
          <w:szCs w:val="22"/>
          <w:lang w:val="es-ES_tradnl"/>
        </w:rPr>
        <w:t xml:space="preserve">Se parece a la serie Puesto </w:t>
      </w:r>
      <w:proofErr w:type="spellStart"/>
      <w:r w:rsidRPr="000F1917">
        <w:rPr>
          <w:sz w:val="22"/>
          <w:szCs w:val="22"/>
          <w:lang w:val="es-ES_tradnl"/>
        </w:rPr>
        <w:t>Sarandi</w:t>
      </w:r>
      <w:proofErr w:type="spellEnd"/>
      <w:r w:rsidRPr="000F1917">
        <w:rPr>
          <w:sz w:val="22"/>
          <w:szCs w:val="22"/>
          <w:lang w:val="es-ES_tradnl"/>
        </w:rPr>
        <w:t xml:space="preserve"> del Dpto. Gualeguay, pero esta está algo mejor drenada y posee un horizonte </w:t>
      </w:r>
      <w:proofErr w:type="spellStart"/>
      <w:r w:rsidRPr="000F1917">
        <w:rPr>
          <w:sz w:val="22"/>
          <w:szCs w:val="22"/>
          <w:lang w:val="es-ES_tradnl"/>
        </w:rPr>
        <w:t>argílico</w:t>
      </w:r>
      <w:proofErr w:type="spellEnd"/>
      <w:r w:rsidRPr="000F1917">
        <w:rPr>
          <w:sz w:val="22"/>
          <w:szCs w:val="22"/>
          <w:lang w:val="es-ES_tradnl"/>
        </w:rPr>
        <w:t xml:space="preserve"> menos arcilloso. También se parece a la serie La Matilde, pero el </w:t>
      </w:r>
      <w:proofErr w:type="spellStart"/>
      <w:r w:rsidRPr="000F1917">
        <w:rPr>
          <w:sz w:val="22"/>
          <w:szCs w:val="22"/>
          <w:lang w:val="es-ES_tradnl"/>
        </w:rPr>
        <w:t>epipedón</w:t>
      </w:r>
      <w:proofErr w:type="spellEnd"/>
      <w:r w:rsidRPr="000F1917">
        <w:rPr>
          <w:sz w:val="22"/>
          <w:szCs w:val="22"/>
          <w:lang w:val="es-ES_tradnl"/>
        </w:rPr>
        <w:t xml:space="preserve"> de esta última está engrosado por acumulación de materiales arrastrados desde las partes más elevadas del relieve y, además, está gran parte del año saturada por una </w:t>
      </w:r>
      <w:proofErr w:type="spellStart"/>
      <w:r w:rsidRPr="000F1917">
        <w:rPr>
          <w:sz w:val="22"/>
          <w:szCs w:val="22"/>
          <w:lang w:val="es-ES_tradnl"/>
        </w:rPr>
        <w:t>napa</w:t>
      </w:r>
      <w:proofErr w:type="spellEnd"/>
      <w:r w:rsidRPr="000F1917">
        <w:rPr>
          <w:sz w:val="22"/>
          <w:szCs w:val="22"/>
          <w:lang w:val="es-ES_tradnl"/>
        </w:rPr>
        <w:t xml:space="preserve"> freática temporaria suspendida sobre el horizonte B2.</w:t>
      </w:r>
    </w:p>
    <w:p w:rsidR="000F1917" w:rsidRDefault="000F1917" w:rsidP="000F1917">
      <w:pPr>
        <w:jc w:val="both"/>
        <w:rPr>
          <w:sz w:val="22"/>
          <w:szCs w:val="22"/>
          <w:u w:val="single"/>
          <w:lang w:val="es-ES_tradnl"/>
        </w:rPr>
      </w:pPr>
    </w:p>
    <w:p w:rsidR="000F1917" w:rsidRPr="000F1917" w:rsidRDefault="000F1917" w:rsidP="000F1917">
      <w:pPr>
        <w:jc w:val="both"/>
        <w:rPr>
          <w:sz w:val="22"/>
          <w:szCs w:val="22"/>
          <w:u w:val="single"/>
          <w:lang w:val="es-ES_tradnl"/>
        </w:rPr>
      </w:pPr>
    </w:p>
    <w:p w:rsidR="000F1917" w:rsidRPr="000F1917" w:rsidRDefault="000F1917" w:rsidP="000F1917">
      <w:pPr>
        <w:jc w:val="both"/>
        <w:rPr>
          <w:bCs/>
          <w:sz w:val="22"/>
          <w:szCs w:val="22"/>
          <w:lang w:val="es-ES_tradnl"/>
        </w:rPr>
      </w:pPr>
      <w:r w:rsidRPr="000F1917">
        <w:rPr>
          <w:b/>
          <w:sz w:val="22"/>
          <w:szCs w:val="22"/>
          <w:u w:val="single"/>
          <w:lang w:val="es-ES_tradnl"/>
        </w:rPr>
        <w:t>Drenaje</w:t>
      </w: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  <w:r w:rsidRPr="000F1917">
        <w:rPr>
          <w:sz w:val="22"/>
          <w:szCs w:val="22"/>
          <w:lang w:val="es-ES_tradnl"/>
        </w:rPr>
        <w:t>Imperfectamente drenado; escurrimiento superficial muy lento. Permeabilidad muy lenta. Capa freática a 100 cm. Grupo hidrológico D.</w:t>
      </w:r>
    </w:p>
    <w:p w:rsidR="000F1917" w:rsidRDefault="000F1917" w:rsidP="000F1917">
      <w:pPr>
        <w:jc w:val="both"/>
        <w:rPr>
          <w:sz w:val="22"/>
          <w:szCs w:val="22"/>
          <w:u w:val="single"/>
          <w:lang w:val="es-ES_tradnl"/>
        </w:rPr>
      </w:pPr>
    </w:p>
    <w:p w:rsidR="000F1917" w:rsidRPr="000F1917" w:rsidRDefault="000F1917" w:rsidP="000F1917">
      <w:pPr>
        <w:jc w:val="both"/>
        <w:rPr>
          <w:sz w:val="22"/>
          <w:szCs w:val="22"/>
          <w:u w:val="single"/>
          <w:lang w:val="es-ES_tradnl"/>
        </w:rPr>
      </w:pPr>
    </w:p>
    <w:p w:rsidR="000F1917" w:rsidRPr="000F1917" w:rsidRDefault="000F1917" w:rsidP="000F1917">
      <w:pPr>
        <w:jc w:val="both"/>
        <w:rPr>
          <w:b/>
          <w:sz w:val="22"/>
          <w:szCs w:val="22"/>
          <w:lang w:val="es-ES_tradnl"/>
        </w:rPr>
      </w:pPr>
      <w:r w:rsidRPr="000F1917">
        <w:rPr>
          <w:b/>
          <w:sz w:val="22"/>
          <w:szCs w:val="22"/>
          <w:u w:val="single"/>
          <w:lang w:val="es-ES_tradnl"/>
        </w:rPr>
        <w:t>Erosión</w:t>
      </w: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  <w:r w:rsidRPr="000F1917">
        <w:rPr>
          <w:sz w:val="22"/>
          <w:szCs w:val="22"/>
          <w:lang w:val="es-ES_tradnl"/>
        </w:rPr>
        <w:t xml:space="preserve">La serie Arroyo </w:t>
      </w:r>
      <w:proofErr w:type="spellStart"/>
      <w:r w:rsidRPr="000F1917">
        <w:rPr>
          <w:sz w:val="22"/>
          <w:szCs w:val="22"/>
          <w:lang w:val="es-ES_tradnl"/>
        </w:rPr>
        <w:t>Nogoyá</w:t>
      </w:r>
      <w:proofErr w:type="spellEnd"/>
      <w:r w:rsidRPr="000F1917">
        <w:rPr>
          <w:sz w:val="22"/>
          <w:szCs w:val="22"/>
          <w:lang w:val="es-ES_tradnl"/>
        </w:rPr>
        <w:t xml:space="preserve"> no tiene erosión actual, ni peligro a la misma.</w:t>
      </w:r>
    </w:p>
    <w:p w:rsidR="000F1917" w:rsidRPr="000F1917" w:rsidRDefault="000F1917" w:rsidP="000F1917">
      <w:pPr>
        <w:jc w:val="center"/>
        <w:rPr>
          <w:sz w:val="22"/>
          <w:szCs w:val="22"/>
          <w:lang w:val="es-ES_tradnl"/>
        </w:rPr>
      </w:pPr>
      <w:r w:rsidRPr="000F1917">
        <w:rPr>
          <w:sz w:val="22"/>
          <w:szCs w:val="22"/>
          <w:lang w:val="es-ES_tradnl"/>
        </w:rPr>
        <w:br w:type="page"/>
      </w:r>
    </w:p>
    <w:p w:rsidR="000F1917" w:rsidRPr="000F1917" w:rsidRDefault="000F1917" w:rsidP="000F1917">
      <w:pPr>
        <w:rPr>
          <w:b/>
          <w:sz w:val="22"/>
          <w:szCs w:val="22"/>
          <w:u w:val="single"/>
        </w:rPr>
      </w:pPr>
      <w:r w:rsidRPr="000F1917">
        <w:rPr>
          <w:b/>
          <w:sz w:val="22"/>
          <w:szCs w:val="22"/>
          <w:u w:val="single"/>
        </w:rPr>
        <w:lastRenderedPageBreak/>
        <w:t>DATOS ANALITICOS DEL PERFIL TIPICO</w:t>
      </w:r>
    </w:p>
    <w:p w:rsidR="000F1917" w:rsidRPr="000F1917" w:rsidRDefault="000F1917" w:rsidP="000F1917">
      <w:pPr>
        <w:jc w:val="both"/>
        <w:rPr>
          <w:b/>
          <w:sz w:val="22"/>
          <w:szCs w:val="22"/>
          <w:lang w:val="es-ES_tradnl"/>
        </w:rPr>
      </w:pPr>
    </w:p>
    <w:p w:rsidR="000F1917" w:rsidRPr="000F1917" w:rsidRDefault="000F1917" w:rsidP="000F1917">
      <w:pPr>
        <w:jc w:val="both"/>
        <w:rPr>
          <w:b/>
          <w:sz w:val="22"/>
          <w:szCs w:val="22"/>
          <w:lang w:val="es-ES_tradnl"/>
        </w:rPr>
      </w:pPr>
      <w:r w:rsidRPr="000F1917">
        <w:rPr>
          <w:b/>
          <w:sz w:val="22"/>
          <w:szCs w:val="22"/>
          <w:u w:val="single"/>
          <w:lang w:val="es-ES_tradnl"/>
        </w:rPr>
        <w:t xml:space="preserve">Serie Arroyo </w:t>
      </w:r>
      <w:proofErr w:type="spellStart"/>
      <w:r w:rsidRPr="000F1917">
        <w:rPr>
          <w:b/>
          <w:sz w:val="22"/>
          <w:szCs w:val="22"/>
          <w:u w:val="single"/>
          <w:lang w:val="es-ES_tradnl"/>
        </w:rPr>
        <w:t>Nogoyá</w:t>
      </w:r>
      <w:proofErr w:type="spellEnd"/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</w:p>
    <w:p w:rsidR="000F1917" w:rsidRPr="000F1917" w:rsidRDefault="000F1917" w:rsidP="000F1917">
      <w:pPr>
        <w:jc w:val="both"/>
        <w:rPr>
          <w:sz w:val="22"/>
          <w:szCs w:val="22"/>
          <w:lang w:val="es-ES_tradnl"/>
        </w:rPr>
      </w:pPr>
      <w:r w:rsidRPr="000F1917">
        <w:rPr>
          <w:sz w:val="22"/>
          <w:szCs w:val="22"/>
          <w:lang w:val="es-ES_tradnl"/>
        </w:rPr>
        <w:t>ER1</w:t>
      </w:r>
      <w:r w:rsidRPr="000F1917">
        <w:rPr>
          <w:sz w:val="22"/>
          <w:szCs w:val="22"/>
          <w:lang w:val="es-ES_tradnl"/>
        </w:rPr>
        <w:noBreakHyphen/>
        <w:t>84C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79"/>
        <w:gridCol w:w="1064"/>
        <w:gridCol w:w="1097"/>
        <w:gridCol w:w="1097"/>
        <w:gridCol w:w="1097"/>
        <w:gridCol w:w="1097"/>
        <w:gridCol w:w="1097"/>
        <w:gridCol w:w="1098"/>
      </w:tblGrid>
      <w:tr w:rsidR="000F1917" w:rsidRPr="000F1917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7.206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7.207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7.208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7.209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7.210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7.211</w:t>
            </w: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B3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C</w:t>
            </w: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03</w:t>
            </w:r>
            <w:r w:rsidRPr="000F1917">
              <w:rPr>
                <w:sz w:val="22"/>
                <w:szCs w:val="22"/>
                <w:lang w:val="es-ES_tradnl"/>
              </w:rPr>
              <w:noBreakHyphen/>
              <w:t>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23</w:t>
            </w:r>
            <w:r w:rsidRPr="000F1917">
              <w:rPr>
                <w:sz w:val="22"/>
                <w:szCs w:val="22"/>
                <w:lang w:val="es-ES_tradnl"/>
              </w:rPr>
              <w:noBreakHyphen/>
              <w:t>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45</w:t>
            </w:r>
            <w:r w:rsidRPr="000F1917">
              <w:rPr>
                <w:sz w:val="22"/>
                <w:szCs w:val="22"/>
                <w:lang w:val="es-ES_tradnl"/>
              </w:rPr>
              <w:noBreakHyphen/>
              <w:t>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65</w:t>
            </w:r>
            <w:r w:rsidRPr="000F1917">
              <w:rPr>
                <w:sz w:val="22"/>
                <w:szCs w:val="22"/>
                <w:lang w:val="es-ES_tradnl"/>
              </w:rPr>
              <w:noBreakHyphen/>
              <w:t>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90</w:t>
            </w:r>
            <w:r w:rsidRPr="000F1917">
              <w:rPr>
                <w:sz w:val="22"/>
                <w:szCs w:val="22"/>
                <w:lang w:val="es-ES_tradnl"/>
              </w:rPr>
              <w:noBreakHyphen/>
              <w:t>105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113</w:t>
            </w:r>
            <w:r w:rsidRPr="000F1917">
              <w:rPr>
                <w:sz w:val="22"/>
                <w:szCs w:val="22"/>
                <w:lang w:val="es-ES_tradnl"/>
              </w:rPr>
              <w:noBreakHyphen/>
              <w:t>123</w:t>
            </w: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3.87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1.54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0.75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0.52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0.15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0.14</w:t>
            </w: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0.21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0.07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0.06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0.02</w:t>
            </w: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C/N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9.91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11.20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6.67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6.83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3.48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 xml:space="preserve">3.81 </w:t>
            </w: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 xml:space="preserve">T  </w:t>
            </w:r>
            <w:r>
              <w:rPr>
                <w:sz w:val="22"/>
                <w:szCs w:val="22"/>
                <w:lang w:val="en-US"/>
              </w:rPr>
              <w:t xml:space="preserve">      </w:t>
            </w:r>
            <w:r w:rsidRPr="000F1917">
              <w:rPr>
                <w:sz w:val="22"/>
                <w:szCs w:val="22"/>
                <w:lang w:val="en-US"/>
              </w:rPr>
              <w:t xml:space="preserve">      &lt; 2 µ 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30.20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26.48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45.23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43.95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41.40</w:t>
            </w:r>
          </w:p>
        </w:tc>
        <w:tc>
          <w:tcPr>
            <w:tcW w:w="109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36.97</w:t>
            </w: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 xml:space="preserve">E  </w:t>
            </w:r>
            <w:r>
              <w:rPr>
                <w:sz w:val="22"/>
                <w:szCs w:val="22"/>
                <w:lang w:val="es-ES_tradnl"/>
              </w:rPr>
              <w:t xml:space="preserve">    </w:t>
            </w:r>
            <w:r w:rsidRPr="000F1917">
              <w:rPr>
                <w:sz w:val="22"/>
                <w:szCs w:val="22"/>
                <w:lang w:val="es-ES_tradnl"/>
              </w:rPr>
              <w:t xml:space="preserve">    </w:t>
            </w:r>
            <w:r>
              <w:rPr>
                <w:sz w:val="22"/>
                <w:szCs w:val="22"/>
                <w:lang w:val="es-ES_tradnl"/>
              </w:rPr>
              <w:t xml:space="preserve">  </w:t>
            </w:r>
            <w:r w:rsidRPr="000F1917">
              <w:rPr>
                <w:sz w:val="22"/>
                <w:szCs w:val="22"/>
                <w:lang w:val="es-ES_tradnl"/>
              </w:rPr>
              <w:t>2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0F1917">
              <w:rPr>
                <w:sz w:val="22"/>
                <w:szCs w:val="22"/>
                <w:lang w:val="es-ES_tradnl"/>
              </w:rPr>
              <w:t>20 µ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27.77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22.38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14.01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15.83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20.53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34.29</w:t>
            </w: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 xml:space="preserve">X      </w:t>
            </w:r>
            <w:r>
              <w:rPr>
                <w:sz w:val="22"/>
                <w:szCs w:val="22"/>
                <w:lang w:val="es-ES_tradnl"/>
              </w:rPr>
              <w:t xml:space="preserve">     </w:t>
            </w:r>
            <w:r w:rsidRPr="000F1917">
              <w:rPr>
                <w:sz w:val="22"/>
                <w:szCs w:val="22"/>
                <w:lang w:val="es-ES_tradnl"/>
              </w:rPr>
              <w:t>2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0F1917">
              <w:rPr>
                <w:sz w:val="22"/>
                <w:szCs w:val="22"/>
                <w:lang w:val="es-ES_tradnl"/>
              </w:rPr>
              <w:t>50 µ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51.60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49.46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38.00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41.33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44.35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49.72</w:t>
            </w: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 xml:space="preserve">T     </w:t>
            </w:r>
            <w:r>
              <w:rPr>
                <w:sz w:val="22"/>
                <w:szCs w:val="22"/>
                <w:lang w:val="es-ES_tradnl"/>
              </w:rPr>
              <w:t xml:space="preserve">   </w:t>
            </w:r>
            <w:r w:rsidRPr="000F1917">
              <w:rPr>
                <w:sz w:val="22"/>
                <w:szCs w:val="22"/>
                <w:lang w:val="es-ES_tradnl"/>
              </w:rPr>
              <w:t>50</w:t>
            </w:r>
            <w:r>
              <w:rPr>
                <w:sz w:val="22"/>
                <w:szCs w:val="22"/>
                <w:lang w:val="es-ES_tradnl"/>
              </w:rPr>
              <w:t>-1</w:t>
            </w:r>
            <w:r w:rsidRPr="000F1917">
              <w:rPr>
                <w:sz w:val="22"/>
                <w:szCs w:val="22"/>
                <w:lang w:val="es-ES_tradnl"/>
              </w:rPr>
              <w:t>00 µ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1.29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2.36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2.19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1.85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1.33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1.48</w:t>
            </w: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 xml:space="preserve">U   </w:t>
            </w:r>
            <w:r>
              <w:rPr>
                <w:sz w:val="22"/>
                <w:szCs w:val="22"/>
                <w:lang w:val="es-ES_tradnl"/>
              </w:rPr>
              <w:t xml:space="preserve">  </w:t>
            </w:r>
            <w:r w:rsidRPr="000F1917">
              <w:rPr>
                <w:sz w:val="22"/>
                <w:szCs w:val="22"/>
                <w:lang w:val="es-ES_tradnl"/>
              </w:rPr>
              <w:t xml:space="preserve"> 100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0F1917">
              <w:rPr>
                <w:sz w:val="22"/>
                <w:szCs w:val="22"/>
                <w:lang w:val="es-ES_tradnl"/>
              </w:rPr>
              <w:t>500 µ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16.52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21.05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14.11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12.52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12.51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11.41</w:t>
            </w: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 xml:space="preserve">R    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0F1917">
              <w:rPr>
                <w:sz w:val="22"/>
                <w:szCs w:val="22"/>
                <w:lang w:val="es-ES_tradnl"/>
              </w:rPr>
              <w:t>500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0F1917">
              <w:rPr>
                <w:sz w:val="22"/>
                <w:szCs w:val="22"/>
                <w:lang w:val="es-ES_tradnl"/>
              </w:rPr>
              <w:t>1000 µ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0.39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0.65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0.47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0.35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0.41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0.42</w:t>
            </w: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A   10</w:t>
            </w:r>
            <w:bookmarkStart w:id="0" w:name="_GoBack"/>
            <w:bookmarkEnd w:id="0"/>
            <w:r w:rsidRPr="000F1917">
              <w:rPr>
                <w:sz w:val="22"/>
                <w:szCs w:val="22"/>
                <w:lang w:val="es-ES_tradnl"/>
              </w:rPr>
              <w:t>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0F1917">
              <w:rPr>
                <w:sz w:val="22"/>
                <w:szCs w:val="22"/>
                <w:lang w:val="es-ES_tradnl"/>
              </w:rPr>
              <w:t xml:space="preserve">2000 µ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noBreakHyphen/>
              <w:t xml:space="preserve">  </w:t>
            </w: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09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0.0</w:t>
            </w: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5.8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6.3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6.7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7.3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7.7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7.9</w:t>
            </w: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0F1917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7.0</w:t>
            </w: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C.E. (</w:t>
            </w:r>
            <w:proofErr w:type="spellStart"/>
            <w:r w:rsidRPr="000F1917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0F1917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0.47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0.25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0.63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0.82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0.87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 xml:space="preserve">0.84 </w:t>
            </w: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2" w:type="dxa"/>
            <w:gridSpan w:val="3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s-ES_tradnl"/>
              </w:rPr>
            </w:pPr>
          </w:p>
          <w:p w:rsidR="000F1917" w:rsidRPr="000F1917" w:rsidRDefault="000F1917" w:rsidP="000F1917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Capacidad  de intercambio</w:t>
            </w:r>
          </w:p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0F1917">
              <w:rPr>
                <w:sz w:val="22"/>
                <w:szCs w:val="22"/>
                <w:lang w:val="es-ES_tradnl"/>
              </w:rPr>
              <w:t>meq</w:t>
            </w:r>
            <w:proofErr w:type="spellEnd"/>
            <w:r w:rsidRPr="000F1917">
              <w:rPr>
                <w:sz w:val="22"/>
                <w:szCs w:val="22"/>
                <w:lang w:val="es-ES_tradnl"/>
              </w:rPr>
              <w:t>/100 g) =</w:t>
            </w:r>
          </w:p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32.00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29.40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42.00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40.00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37.85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34.80</w:t>
            </w:r>
          </w:p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26.00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24.00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33.60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32.10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30.80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28.20</w:t>
            </w: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4.10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3.60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5.60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4.90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4.60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4.30</w:t>
            </w: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0F1917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1.10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1.00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1.60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1.55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1.30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</w:rPr>
            </w:pPr>
            <w:r w:rsidRPr="000F1917">
              <w:rPr>
                <w:sz w:val="22"/>
                <w:szCs w:val="22"/>
                <w:lang w:val="es-ES_tradnl"/>
              </w:rPr>
              <w:t>1.25</w:t>
            </w: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0F1917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0F1917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0.55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0.50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1.50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1.38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1.10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1.50</w:t>
            </w: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0F1917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n-US"/>
              </w:rPr>
            </w:pPr>
            <w:r w:rsidRPr="000F1917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 xml:space="preserve">-   </w:t>
            </w: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0F1917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0F1917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1.72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1.70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3.57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3.45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2.91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F1917" w:rsidRPr="000F1917" w:rsidRDefault="000F1917" w:rsidP="000F1917">
            <w:pPr>
              <w:jc w:val="center"/>
              <w:rPr>
                <w:sz w:val="22"/>
                <w:szCs w:val="22"/>
              </w:rPr>
            </w:pPr>
            <w:r w:rsidRPr="000F1917">
              <w:rPr>
                <w:sz w:val="22"/>
                <w:szCs w:val="22"/>
                <w:lang w:val="es-ES_tradnl"/>
              </w:rPr>
              <w:t>4.31</w:t>
            </w:r>
          </w:p>
        </w:tc>
      </w:tr>
      <w:tr w:rsidR="000F1917" w:rsidRPr="000F1917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both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29.95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24.02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41.53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40.33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  <w:lang w:val="es-ES_tradnl"/>
              </w:rPr>
            </w:pPr>
            <w:r w:rsidRPr="000F1917">
              <w:rPr>
                <w:sz w:val="22"/>
                <w:szCs w:val="22"/>
                <w:lang w:val="es-ES_tradnl"/>
              </w:rPr>
              <w:t>39.33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0F1917" w:rsidRPr="000F1917" w:rsidRDefault="000F1917" w:rsidP="000F1917">
            <w:pPr>
              <w:jc w:val="center"/>
              <w:rPr>
                <w:sz w:val="22"/>
                <w:szCs w:val="22"/>
              </w:rPr>
            </w:pPr>
            <w:r w:rsidRPr="000F1917">
              <w:rPr>
                <w:sz w:val="22"/>
                <w:szCs w:val="22"/>
                <w:lang w:val="es-ES_tradnl"/>
              </w:rPr>
              <w:t>37.40</w:t>
            </w:r>
          </w:p>
        </w:tc>
      </w:tr>
    </w:tbl>
    <w:p w:rsidR="009824F6" w:rsidRPr="000F1917" w:rsidRDefault="009824F6" w:rsidP="000F1917">
      <w:pPr>
        <w:rPr>
          <w:sz w:val="22"/>
          <w:szCs w:val="22"/>
        </w:rPr>
      </w:pPr>
    </w:p>
    <w:sectPr w:rsidR="009824F6" w:rsidRPr="000F19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17"/>
    <w:rsid w:val="000F1917"/>
    <w:rsid w:val="0098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9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0F1917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0F191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semiHidden/>
    <w:rsid w:val="000F1917"/>
    <w:pPr>
      <w:widowControl w:val="0"/>
      <w:tabs>
        <w:tab w:val="left" w:pos="-1440"/>
      </w:tabs>
      <w:ind w:left="1440" w:hanging="1440"/>
      <w:jc w:val="both"/>
    </w:pPr>
    <w:rPr>
      <w:szCs w:val="20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0F1917"/>
    <w:rPr>
      <w:rFonts w:ascii="Times New Roman" w:eastAsia="Times New Roman" w:hAnsi="Times New Roman" w:cs="Times New Roman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9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0F1917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0F191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semiHidden/>
    <w:rsid w:val="000F1917"/>
    <w:pPr>
      <w:widowControl w:val="0"/>
      <w:tabs>
        <w:tab w:val="left" w:pos="-1440"/>
      </w:tabs>
      <w:ind w:left="1440" w:hanging="1440"/>
      <w:jc w:val="both"/>
    </w:pPr>
    <w:rPr>
      <w:szCs w:val="20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0F1917"/>
    <w:rPr>
      <w:rFonts w:ascii="Times New Roman" w:eastAsia="Times New Roman" w:hAnsi="Times New Roman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941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2014-02-04T18:37:00Z</dcterms:created>
  <dcterms:modified xsi:type="dcterms:W3CDTF">2014-02-04T18:40:00Z</dcterms:modified>
</cp:coreProperties>
</file>