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264" w:rsidRPr="00FF6264" w:rsidRDefault="00FF6264" w:rsidP="00FF6264">
      <w:pPr>
        <w:pStyle w:val="Textoindependiente"/>
        <w:jc w:val="both"/>
        <w:rPr>
          <w:sz w:val="22"/>
          <w:szCs w:val="22"/>
          <w:highlight w:val="green"/>
        </w:rPr>
      </w:pPr>
    </w:p>
    <w:p w:rsidR="00FF6264" w:rsidRPr="00FF6264" w:rsidRDefault="00FF6264" w:rsidP="00FF6264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FF6264">
        <w:rPr>
          <w:b/>
          <w:color w:val="000000"/>
          <w:szCs w:val="24"/>
        </w:rPr>
        <w:t>SERIE ARROYO SAN JULIÁN</w:t>
      </w:r>
      <w:r w:rsidRPr="00FF6264">
        <w:rPr>
          <w:color w:val="000000"/>
          <w:szCs w:val="24"/>
        </w:rPr>
        <w:t xml:space="preserve">                                                                    Símbolo: </w:t>
      </w:r>
      <w:r w:rsidRPr="00FF6264">
        <w:rPr>
          <w:b/>
          <w:color w:val="000000"/>
          <w:szCs w:val="24"/>
        </w:rPr>
        <w:t>ASJ</w:t>
      </w:r>
    </w:p>
    <w:p w:rsidR="00FF6264" w:rsidRPr="00FF6264" w:rsidRDefault="00FF6264" w:rsidP="00FF6264">
      <w:pPr>
        <w:pStyle w:val="Textoindependiente"/>
        <w:jc w:val="both"/>
        <w:rPr>
          <w:sz w:val="22"/>
          <w:szCs w:val="22"/>
          <w:highlight w:val="green"/>
        </w:rPr>
      </w:pPr>
    </w:p>
    <w:p w:rsidR="00FF6264" w:rsidRPr="00FF6264" w:rsidRDefault="00FF6264" w:rsidP="00FF6264">
      <w:pPr>
        <w:pStyle w:val="Textoindependiente"/>
        <w:jc w:val="both"/>
        <w:rPr>
          <w:sz w:val="22"/>
          <w:szCs w:val="22"/>
          <w:highlight w:val="green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FF6264">
        <w:rPr>
          <w:sz w:val="22"/>
          <w:szCs w:val="22"/>
        </w:rPr>
        <w:t xml:space="preserve">Pertenece a la familia “limosa fina, mixta (?), no ácida, térmica” de los </w:t>
      </w:r>
      <w:proofErr w:type="spellStart"/>
      <w:r w:rsidRPr="00FF6264">
        <w:rPr>
          <w:color w:val="000000"/>
          <w:sz w:val="22"/>
          <w:szCs w:val="22"/>
          <w:u w:val="single"/>
          <w:lang w:val="es-ES_tradnl"/>
        </w:rPr>
        <w:t>Haplacuentes</w:t>
      </w:r>
      <w:proofErr w:type="spellEnd"/>
      <w:r w:rsidRPr="00FF6264">
        <w:rPr>
          <w:color w:val="000000"/>
          <w:sz w:val="22"/>
          <w:szCs w:val="22"/>
          <w:u w:val="single"/>
          <w:lang w:val="es-ES_tradnl"/>
        </w:rPr>
        <w:t xml:space="preserve"> </w:t>
      </w:r>
      <w:proofErr w:type="spellStart"/>
      <w:r w:rsidRPr="00FF6264">
        <w:rPr>
          <w:color w:val="000000"/>
          <w:sz w:val="22"/>
          <w:szCs w:val="22"/>
          <w:u w:val="single"/>
          <w:lang w:val="es-ES_tradnl"/>
        </w:rPr>
        <w:t>aéricos</w:t>
      </w:r>
      <w:proofErr w:type="spellEnd"/>
      <w:r w:rsidRPr="00FF6264">
        <w:rPr>
          <w:sz w:val="22"/>
          <w:szCs w:val="22"/>
        </w:rPr>
        <w:t xml:space="preserve">. </w:t>
      </w: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FF6264">
        <w:rPr>
          <w:color w:val="000000"/>
          <w:sz w:val="22"/>
          <w:szCs w:val="22"/>
          <w:lang w:val="es-ES_tradnl"/>
        </w:rPr>
        <w:t xml:space="preserve">Suelo aluvial, sódico y salino. Este suelo se ha desarrollado a partir de materiales marinos y continentales mediante procesos de transporte y sedimentación fluvial. </w:t>
      </w: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FF6264">
        <w:rPr>
          <w:color w:val="000000"/>
          <w:sz w:val="22"/>
          <w:szCs w:val="22"/>
          <w:lang w:val="es-ES_tradnl"/>
        </w:rPr>
        <w:t>La cobertura vegetal es escasa y de pastizales halófilos.</w:t>
      </w:r>
    </w:p>
    <w:p w:rsidR="00FF6264" w:rsidRPr="00FF6264" w:rsidRDefault="00FF6264" w:rsidP="00FF6264">
      <w:pPr>
        <w:pStyle w:val="Textoindependiente"/>
        <w:jc w:val="both"/>
        <w:rPr>
          <w:sz w:val="22"/>
          <w:szCs w:val="22"/>
          <w:lang w:val="es-ES_tradnl"/>
        </w:rPr>
      </w:pPr>
    </w:p>
    <w:p w:rsidR="00FF6264" w:rsidRPr="00FF6264" w:rsidRDefault="00FF6264" w:rsidP="00FF6264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</w:p>
    <w:p w:rsidR="00FF6264" w:rsidRPr="00FF6264" w:rsidRDefault="00FF6264" w:rsidP="00FF6264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FF6264">
        <w:rPr>
          <w:b/>
          <w:color w:val="000000"/>
          <w:sz w:val="22"/>
          <w:szCs w:val="22"/>
        </w:rPr>
        <w:t>Perfil tipo</w:t>
      </w:r>
      <w:r w:rsidRPr="00FF6264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330C"/>
        </w:smartTagPr>
        <w:r w:rsidRPr="00FF6264">
          <w:rPr>
            <w:color w:val="000000"/>
            <w:sz w:val="22"/>
            <w:szCs w:val="22"/>
          </w:rPr>
          <w:t>330</w:t>
        </w:r>
        <w:r w:rsidRPr="00FF6264">
          <w:rPr>
            <w:sz w:val="22"/>
            <w:szCs w:val="22"/>
          </w:rPr>
          <w:t>C</w:t>
        </w:r>
      </w:smartTag>
      <w:r w:rsidRPr="00FF6264">
        <w:rPr>
          <w:color w:val="000000"/>
          <w:sz w:val="22"/>
          <w:szCs w:val="22"/>
        </w:rPr>
        <w:t xml:space="preserve"> INTA Castelar</w:t>
      </w:r>
    </w:p>
    <w:p w:rsidR="00FF6264" w:rsidRPr="00FF6264" w:rsidRDefault="00FF6264" w:rsidP="00FF6264">
      <w:pPr>
        <w:pStyle w:val="Textoindependiente"/>
        <w:jc w:val="both"/>
        <w:rPr>
          <w:color w:val="000000"/>
          <w:sz w:val="22"/>
          <w:szCs w:val="22"/>
        </w:rPr>
      </w:pPr>
      <w:r w:rsidRPr="00FF6264">
        <w:rPr>
          <w:b/>
          <w:color w:val="000000"/>
          <w:sz w:val="22"/>
          <w:szCs w:val="22"/>
        </w:rPr>
        <w:t>Fecha</w:t>
      </w:r>
      <w:r w:rsidRPr="00FF6264">
        <w:rPr>
          <w:color w:val="000000"/>
          <w:sz w:val="22"/>
          <w:szCs w:val="22"/>
        </w:rPr>
        <w:t>: 22-III-1976</w:t>
      </w:r>
    </w:p>
    <w:p w:rsidR="00FF6264" w:rsidRPr="00FF6264" w:rsidRDefault="00FF6264" w:rsidP="00FF6264">
      <w:pPr>
        <w:pStyle w:val="Textoindependiente"/>
        <w:jc w:val="both"/>
        <w:rPr>
          <w:color w:val="000000"/>
          <w:sz w:val="22"/>
          <w:szCs w:val="22"/>
        </w:rPr>
      </w:pPr>
      <w:r w:rsidRPr="00FF6264">
        <w:rPr>
          <w:b/>
          <w:color w:val="000000"/>
          <w:sz w:val="22"/>
          <w:szCs w:val="22"/>
        </w:rPr>
        <w:t>Ubicación</w:t>
      </w:r>
      <w:r w:rsidRPr="00FF6264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1 km"/>
        </w:smartTagPr>
        <w:r w:rsidRPr="00FF6264">
          <w:rPr>
            <w:color w:val="000000"/>
            <w:sz w:val="22"/>
            <w:szCs w:val="22"/>
            <w:lang w:val="es-ES_tradnl"/>
          </w:rPr>
          <w:t>11 km</w:t>
        </w:r>
      </w:smartTag>
      <w:r w:rsidRPr="00FF6264">
        <w:rPr>
          <w:color w:val="000000"/>
          <w:sz w:val="22"/>
          <w:szCs w:val="22"/>
          <w:lang w:val="es-ES_tradnl"/>
        </w:rPr>
        <w:t xml:space="preserve"> al SE de la localidad de Médanos</w:t>
      </w:r>
      <w:r w:rsidRPr="00FF6264">
        <w:rPr>
          <w:color w:val="000000"/>
          <w:sz w:val="22"/>
          <w:szCs w:val="22"/>
        </w:rPr>
        <w:t xml:space="preserve"> (Hoja IGM 3360-29-4) – Dpto. Islas del Ibicuy</w:t>
      </w:r>
    </w:p>
    <w:p w:rsidR="00FF6264" w:rsidRPr="00FF6264" w:rsidRDefault="00FF6264" w:rsidP="00FF6264">
      <w:pPr>
        <w:pStyle w:val="Textoindependiente"/>
        <w:jc w:val="both"/>
        <w:rPr>
          <w:color w:val="000000"/>
          <w:sz w:val="22"/>
          <w:szCs w:val="22"/>
        </w:rPr>
      </w:pPr>
      <w:r w:rsidRPr="00FF6264">
        <w:rPr>
          <w:b/>
          <w:color w:val="000000"/>
          <w:sz w:val="22"/>
          <w:szCs w:val="22"/>
        </w:rPr>
        <w:t>Reconocedores</w:t>
      </w:r>
      <w:r w:rsidRPr="00FF6264">
        <w:rPr>
          <w:color w:val="000000"/>
          <w:sz w:val="22"/>
          <w:szCs w:val="22"/>
        </w:rPr>
        <w:t xml:space="preserve">: L.A. Gómez.; V. </w:t>
      </w:r>
      <w:proofErr w:type="spellStart"/>
      <w:r w:rsidRPr="00FF6264">
        <w:rPr>
          <w:color w:val="000000"/>
          <w:sz w:val="22"/>
          <w:szCs w:val="22"/>
        </w:rPr>
        <w:t>Nakama</w:t>
      </w:r>
      <w:proofErr w:type="spellEnd"/>
    </w:p>
    <w:p w:rsidR="00FF6264" w:rsidRPr="00FF6264" w:rsidRDefault="00FF6264" w:rsidP="00FF6264">
      <w:pPr>
        <w:pStyle w:val="Textoindependiente"/>
        <w:jc w:val="both"/>
        <w:rPr>
          <w:sz w:val="22"/>
          <w:szCs w:val="22"/>
          <w:highlight w:val="green"/>
        </w:rPr>
      </w:pPr>
    </w:p>
    <w:p w:rsidR="00FF6264" w:rsidRPr="00FF6264" w:rsidRDefault="00FF6264" w:rsidP="00FF6264">
      <w:pPr>
        <w:pStyle w:val="Textoindependiente"/>
        <w:jc w:val="both"/>
        <w:rPr>
          <w:sz w:val="22"/>
          <w:szCs w:val="22"/>
          <w:highlight w:val="green"/>
        </w:rPr>
      </w:pPr>
    </w:p>
    <w:p w:rsidR="00FF6264" w:rsidRPr="00FF6264" w:rsidRDefault="00FF6264" w:rsidP="00FF6264">
      <w:pPr>
        <w:jc w:val="both"/>
        <w:rPr>
          <w:color w:val="000000"/>
          <w:sz w:val="22"/>
          <w:szCs w:val="22"/>
          <w:lang w:val="es-ES_tradnl"/>
        </w:rPr>
      </w:pPr>
      <w:r w:rsidRPr="00FF6264">
        <w:rPr>
          <w:b/>
          <w:color w:val="000000"/>
          <w:sz w:val="22"/>
          <w:szCs w:val="22"/>
          <w:lang w:val="es-ES_tradnl"/>
        </w:rPr>
        <w:t>A1</w:t>
      </w:r>
      <w:r w:rsidRPr="00FF626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FF6264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2 cm"/>
        </w:smartTagPr>
        <w:r w:rsidRPr="00FF6264">
          <w:rPr>
            <w:color w:val="000000"/>
            <w:sz w:val="22"/>
            <w:szCs w:val="22"/>
            <w:lang w:val="es-ES_tradnl"/>
          </w:rPr>
          <w:t>12 cm</w:t>
        </w:r>
      </w:smartTag>
      <w:r w:rsidRPr="00FF6264">
        <w:rPr>
          <w:color w:val="000000"/>
          <w:sz w:val="22"/>
          <w:szCs w:val="22"/>
          <w:lang w:val="es-ES_tradnl"/>
        </w:rPr>
        <w:t xml:space="preserve">; pardo opaco (7,5YR 5/3) en húmedo; franco limoso; estructura en bloques </w:t>
      </w:r>
      <w:proofErr w:type="spellStart"/>
      <w:r w:rsidRPr="00FF6264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FF6264">
        <w:rPr>
          <w:color w:val="000000"/>
          <w:sz w:val="22"/>
          <w:szCs w:val="22"/>
          <w:lang w:val="es-ES_tradnl"/>
        </w:rPr>
        <w:t xml:space="preserve"> medios moderados que rompen en bloques menores; ligeramente friable; ligeramente plástico, ligeramente adhesivo; </w:t>
      </w:r>
      <w:proofErr w:type="spellStart"/>
      <w:r w:rsidRPr="00FF6264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FF6264">
        <w:rPr>
          <w:color w:val="000000"/>
          <w:sz w:val="22"/>
          <w:szCs w:val="22"/>
          <w:lang w:val="es-ES_tradnl"/>
        </w:rPr>
        <w:t xml:space="preserve"> calcáreas abundantes; moteados abundantes, gruesos, sobresalientes, de color pardo muy oscuro (7,5YR 2/3); raíces escasas; </w:t>
      </w:r>
      <w:proofErr w:type="spellStart"/>
      <w:r w:rsidRPr="00FF6264">
        <w:rPr>
          <w:color w:val="000000"/>
          <w:sz w:val="22"/>
          <w:szCs w:val="22"/>
          <w:lang w:val="es-ES_tradnl"/>
        </w:rPr>
        <w:t>limite</w:t>
      </w:r>
      <w:proofErr w:type="spellEnd"/>
      <w:r w:rsidRPr="00FF6264">
        <w:rPr>
          <w:color w:val="000000"/>
          <w:sz w:val="22"/>
          <w:szCs w:val="22"/>
          <w:lang w:val="es-ES_tradnl"/>
        </w:rPr>
        <w:t xml:space="preserve"> inferior claro suave.</w:t>
      </w:r>
    </w:p>
    <w:p w:rsidR="00FF6264" w:rsidRPr="00FF6264" w:rsidRDefault="00FF6264" w:rsidP="00FF6264">
      <w:pPr>
        <w:jc w:val="both"/>
        <w:rPr>
          <w:color w:val="000000"/>
          <w:sz w:val="22"/>
          <w:szCs w:val="22"/>
          <w:lang w:val="es-ES_tradnl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FF6264">
        <w:rPr>
          <w:b/>
          <w:color w:val="000000"/>
          <w:sz w:val="22"/>
          <w:szCs w:val="22"/>
          <w:lang w:val="es-ES_tradnl"/>
        </w:rPr>
        <w:t>IIC1</w:t>
      </w:r>
      <w:r w:rsidRPr="00FF626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FF6264">
        <w:rPr>
          <w:color w:val="000000"/>
          <w:sz w:val="22"/>
          <w:szCs w:val="22"/>
          <w:lang w:val="es-ES_tradnl"/>
        </w:rPr>
        <w:t>12-</w:t>
      </w:r>
      <w:smartTag w:uri="urn:schemas-microsoft-com:office:smarttags" w:element="metricconverter">
        <w:smartTagPr>
          <w:attr w:name="ProductID" w:val="88 cm"/>
        </w:smartTagPr>
        <w:r w:rsidRPr="00FF6264">
          <w:rPr>
            <w:color w:val="000000"/>
            <w:sz w:val="22"/>
            <w:szCs w:val="22"/>
            <w:lang w:val="es-ES_tradnl"/>
          </w:rPr>
          <w:t>88 cm</w:t>
        </w:r>
      </w:smartTag>
      <w:r w:rsidRPr="00FF6264">
        <w:rPr>
          <w:color w:val="000000"/>
          <w:sz w:val="22"/>
          <w:szCs w:val="22"/>
          <w:lang w:val="es-ES_tradnl"/>
        </w:rPr>
        <w:t xml:space="preserve">; amarillo grisáceo oscuro (2.5Y 5/2) en húmedo; franco limoso; estructura en bloques </w:t>
      </w:r>
      <w:proofErr w:type="spellStart"/>
      <w:r w:rsidRPr="00FF6264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FF6264">
        <w:rPr>
          <w:color w:val="000000"/>
          <w:sz w:val="22"/>
          <w:szCs w:val="22"/>
          <w:lang w:val="es-ES_tradnl"/>
        </w:rPr>
        <w:t xml:space="preserve"> irregulares medios y débiles que rompen a bloques menores; ligeramente firme; ligeramente plástico, ligeramente adhesivo; </w:t>
      </w:r>
      <w:proofErr w:type="spellStart"/>
      <w:r w:rsidRPr="00FF6264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FF6264">
        <w:rPr>
          <w:color w:val="000000"/>
          <w:sz w:val="22"/>
          <w:szCs w:val="22"/>
          <w:lang w:val="es-ES_tradnl"/>
        </w:rPr>
        <w:t xml:space="preserve"> calcáreas comunes; moteados comunes, grandes y sobresalientes de color pardo muy oscuro (7.5YR 2/3); límite inferior claro y suave.</w:t>
      </w:r>
    </w:p>
    <w:p w:rsidR="00FF6264" w:rsidRPr="00FF6264" w:rsidRDefault="00FF6264" w:rsidP="00FF6264">
      <w:pPr>
        <w:jc w:val="both"/>
        <w:rPr>
          <w:color w:val="000000"/>
          <w:sz w:val="22"/>
          <w:szCs w:val="22"/>
          <w:lang w:val="es-ES_tradnl"/>
        </w:rPr>
      </w:pPr>
    </w:p>
    <w:p w:rsidR="00FF6264" w:rsidRPr="00FF6264" w:rsidRDefault="00FF6264" w:rsidP="00FF6264">
      <w:pPr>
        <w:jc w:val="both"/>
        <w:rPr>
          <w:sz w:val="22"/>
          <w:szCs w:val="22"/>
        </w:rPr>
      </w:pPr>
      <w:r w:rsidRPr="00FF6264">
        <w:rPr>
          <w:b/>
          <w:color w:val="000000"/>
          <w:sz w:val="22"/>
          <w:szCs w:val="22"/>
          <w:lang w:val="es-ES_tradnl"/>
        </w:rPr>
        <w:t>IIIC2</w:t>
      </w:r>
      <w:r w:rsidRPr="00FF626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FF6264">
        <w:rPr>
          <w:color w:val="000000"/>
          <w:sz w:val="22"/>
          <w:szCs w:val="22"/>
          <w:lang w:val="es-ES_tradnl"/>
        </w:rPr>
        <w:t>88-</w:t>
      </w:r>
      <w:smartTag w:uri="urn:schemas-microsoft-com:office:smarttags" w:element="metricconverter">
        <w:smartTagPr>
          <w:attr w:name="ProductID" w:val="140 cm"/>
        </w:smartTagPr>
        <w:r w:rsidRPr="00FF6264">
          <w:rPr>
            <w:color w:val="000000"/>
            <w:sz w:val="22"/>
            <w:szCs w:val="22"/>
            <w:lang w:val="es-ES_tradnl"/>
          </w:rPr>
          <w:t>140 cm</w:t>
        </w:r>
      </w:smartTag>
      <w:r w:rsidRPr="00FF6264">
        <w:rPr>
          <w:color w:val="000000"/>
          <w:sz w:val="22"/>
          <w:szCs w:val="22"/>
          <w:lang w:val="es-ES_tradnl"/>
        </w:rPr>
        <w:t xml:space="preserve">; pardo opaco (7.5YR 5/4) en húmedo; franco limoso; estructura en bloques </w:t>
      </w:r>
      <w:proofErr w:type="spellStart"/>
      <w:r w:rsidRPr="00FF6264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FF6264">
        <w:rPr>
          <w:color w:val="000000"/>
          <w:sz w:val="22"/>
          <w:szCs w:val="22"/>
          <w:lang w:val="es-ES_tradnl"/>
        </w:rPr>
        <w:t xml:space="preserve"> irregulares medios moderados que rompen a bloques menores; ligeramente firme; ligeramente plástico; ligeramente adhesivo; moteados comunes, grandes y sobresalientes, de color pardo muy oscuro (7.5YR 2/3).</w:t>
      </w: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FF6264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FF6264">
        <w:rPr>
          <w:color w:val="000000"/>
          <w:sz w:val="22"/>
          <w:szCs w:val="22"/>
          <w:lang w:val="es-ES_tradnl"/>
        </w:rPr>
        <w:t xml:space="preserve">La capa superficial es de </w:t>
      </w:r>
      <w:smartTag w:uri="urn:schemas-microsoft-com:office:smarttags" w:element="metricconverter">
        <w:smartTagPr>
          <w:attr w:name="ProductID" w:val="12 cm"/>
        </w:smartTagPr>
        <w:r w:rsidRPr="00FF6264">
          <w:rPr>
            <w:color w:val="000000"/>
            <w:sz w:val="22"/>
            <w:szCs w:val="22"/>
            <w:lang w:val="es-ES_tradnl"/>
          </w:rPr>
          <w:t>12 cm</w:t>
        </w:r>
      </w:smartTag>
      <w:r w:rsidRPr="00FF6264">
        <w:rPr>
          <w:color w:val="000000"/>
          <w:sz w:val="22"/>
          <w:szCs w:val="22"/>
          <w:lang w:val="es-ES_tradnl"/>
        </w:rPr>
        <w:t xml:space="preserve"> de espesor, color pardo opaco, mal provisto de materia orgánica, franco limoso y estructura en bloques </w:t>
      </w:r>
      <w:proofErr w:type="spellStart"/>
      <w:r w:rsidRPr="00FF6264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FF6264">
        <w:rPr>
          <w:color w:val="000000"/>
          <w:sz w:val="22"/>
          <w:szCs w:val="22"/>
          <w:lang w:val="es-ES_tradnl"/>
        </w:rPr>
        <w:t xml:space="preserve">. A esta capa le siguen otras de textura franco limosa. Los dos primeros estratos presentan </w:t>
      </w:r>
      <w:proofErr w:type="spellStart"/>
      <w:r w:rsidRPr="00FF6264">
        <w:rPr>
          <w:color w:val="000000"/>
          <w:sz w:val="22"/>
          <w:szCs w:val="22"/>
          <w:lang w:val="es-ES_tradnl"/>
        </w:rPr>
        <w:t>microconcreciones</w:t>
      </w:r>
      <w:proofErr w:type="spellEnd"/>
      <w:r w:rsidRPr="00FF6264">
        <w:rPr>
          <w:color w:val="000000"/>
          <w:sz w:val="22"/>
          <w:szCs w:val="22"/>
          <w:lang w:val="es-ES_tradnl"/>
        </w:rPr>
        <w:t xml:space="preserve"> calcáreas abundantes. Los moteados se observan en todo el perfil pero concentrados en la base del estrato superficial,</w:t>
      </w: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FF6264">
        <w:rPr>
          <w:color w:val="000000"/>
          <w:sz w:val="22"/>
          <w:szCs w:val="22"/>
          <w:lang w:val="es-ES_tradnl"/>
        </w:rPr>
        <w:t xml:space="preserve">El perfil es fuertemente salino con más de 200 </w:t>
      </w:r>
      <w:proofErr w:type="spellStart"/>
      <w:r w:rsidRPr="00FF6264">
        <w:rPr>
          <w:color w:val="000000"/>
          <w:sz w:val="22"/>
          <w:szCs w:val="22"/>
          <w:lang w:val="es-ES_tradnl"/>
        </w:rPr>
        <w:t>mmhos</w:t>
      </w:r>
      <w:proofErr w:type="spellEnd"/>
      <w:r w:rsidRPr="00FF6264">
        <w:rPr>
          <w:color w:val="000000"/>
          <w:sz w:val="22"/>
          <w:szCs w:val="22"/>
          <w:lang w:val="es-ES_tradnl"/>
        </w:rPr>
        <w:t>/cm de conductividad en el horizonte superficial. El PSI calculado sobrepasa a lo largo de todo el perfil el 25 %.</w:t>
      </w: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FF6264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FF6264">
        <w:rPr>
          <w:sz w:val="22"/>
          <w:szCs w:val="22"/>
        </w:rPr>
        <w:t>No presenta a escala 1:100.000.</w:t>
      </w: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FF6264">
        <w:rPr>
          <w:b/>
          <w:color w:val="000000"/>
          <w:sz w:val="22"/>
          <w:szCs w:val="22"/>
          <w:u w:val="single"/>
          <w:lang w:val="es-ES_tradnl"/>
        </w:rPr>
        <w:lastRenderedPageBreak/>
        <w:t>Drenaje</w:t>
      </w: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FF6264">
        <w:rPr>
          <w:color w:val="000000"/>
          <w:sz w:val="22"/>
          <w:szCs w:val="22"/>
          <w:lang w:val="es-ES_tradnl"/>
        </w:rPr>
        <w:tab/>
        <w:t>El suelo es de permeabilidad muy lenta y pobremente drenado. Presenta inundaciones frecuentes.</w:t>
      </w:r>
    </w:p>
    <w:p w:rsidR="00FF6264" w:rsidRPr="00FF6264" w:rsidRDefault="00FF6264" w:rsidP="00FF62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FF6264" w:rsidRPr="00FF6264" w:rsidRDefault="00FF6264" w:rsidP="00FF6264">
      <w:pPr>
        <w:pStyle w:val="Textoindependiente"/>
        <w:jc w:val="center"/>
        <w:rPr>
          <w:sz w:val="22"/>
          <w:szCs w:val="22"/>
        </w:rPr>
      </w:pPr>
      <w:r w:rsidRPr="00FF6264">
        <w:rPr>
          <w:sz w:val="22"/>
          <w:szCs w:val="22"/>
          <w:highlight w:val="green"/>
        </w:rPr>
        <w:br w:type="page"/>
      </w:r>
    </w:p>
    <w:p w:rsidR="00FF6264" w:rsidRPr="00FF6264" w:rsidRDefault="00FF6264" w:rsidP="00FF6264">
      <w:pPr>
        <w:pStyle w:val="Textoindependiente"/>
        <w:rPr>
          <w:b/>
          <w:sz w:val="22"/>
          <w:szCs w:val="22"/>
          <w:u w:val="single"/>
        </w:rPr>
      </w:pPr>
      <w:r w:rsidRPr="00FF6264">
        <w:rPr>
          <w:b/>
          <w:sz w:val="22"/>
          <w:szCs w:val="22"/>
          <w:u w:val="single"/>
        </w:rPr>
        <w:lastRenderedPageBreak/>
        <w:t>DATOS ANALITICOS DEL PERFIL TIPO</w:t>
      </w:r>
    </w:p>
    <w:p w:rsidR="00FF6264" w:rsidRPr="00FF6264" w:rsidRDefault="00FF6264" w:rsidP="00FF6264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FF6264" w:rsidRPr="00FF6264" w:rsidRDefault="00FF6264" w:rsidP="00FF6264">
      <w:pPr>
        <w:pStyle w:val="Textoindependiente"/>
        <w:outlineLvl w:val="0"/>
        <w:rPr>
          <w:b/>
          <w:sz w:val="22"/>
          <w:szCs w:val="22"/>
          <w:u w:val="single"/>
        </w:rPr>
      </w:pPr>
      <w:r w:rsidRPr="00FF6264">
        <w:rPr>
          <w:b/>
          <w:sz w:val="22"/>
          <w:szCs w:val="22"/>
          <w:u w:val="single"/>
        </w:rPr>
        <w:t>Serie Arroyo San Julián</w:t>
      </w:r>
    </w:p>
    <w:p w:rsidR="00FF6264" w:rsidRPr="00FF6264" w:rsidRDefault="00FF6264" w:rsidP="00FF6264">
      <w:pPr>
        <w:pStyle w:val="Textoindependiente"/>
        <w:rPr>
          <w:sz w:val="22"/>
          <w:szCs w:val="22"/>
        </w:rPr>
      </w:pPr>
    </w:p>
    <w:tbl>
      <w:tblPr>
        <w:tblW w:w="3151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1577"/>
        <w:gridCol w:w="812"/>
        <w:gridCol w:w="834"/>
        <w:gridCol w:w="945"/>
      </w:tblGrid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30C"/>
              </w:smartTagPr>
              <w:r w:rsidRPr="00FF6264">
                <w:rPr>
                  <w:color w:val="000000"/>
                  <w:sz w:val="22"/>
                  <w:szCs w:val="22"/>
                </w:rPr>
                <w:t>330C</w:t>
              </w:r>
            </w:smartTag>
            <w:r w:rsidRPr="00FF6264">
              <w:rPr>
                <w:color w:val="000000"/>
                <w:sz w:val="22"/>
                <w:szCs w:val="22"/>
              </w:rPr>
              <w:t xml:space="preserve"> INTA Castelar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3-7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25-50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90-120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0.50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0.29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710" w:type="pct"/>
            <w:gridSpan w:val="2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5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</w:p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FF62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15.6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21.4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13.2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FF62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38.5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41.7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23.2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FF62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76.4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76.1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81.3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FF62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3.6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1.3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2.1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FF62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3.7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F6264">
              <w:rPr>
                <w:color w:val="000000"/>
                <w:sz w:val="22"/>
                <w:szCs w:val="22"/>
                <w:lang w:val="fr-FR"/>
              </w:rPr>
              <w:t>2.5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FF62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FF62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F6264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FF62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F6264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n-US"/>
              </w:rPr>
            </w:pPr>
            <w:r w:rsidRPr="00FF6264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F6264">
              <w:rPr>
                <w:color w:val="000000"/>
                <w:sz w:val="22"/>
                <w:szCs w:val="22"/>
              </w:rPr>
              <w:t>vest</w:t>
            </w:r>
            <w:proofErr w:type="spellEnd"/>
            <w:r w:rsidRPr="00FF6264">
              <w:rPr>
                <w:color w:val="000000"/>
                <w:sz w:val="22"/>
                <w:szCs w:val="22"/>
              </w:rPr>
              <w:t xml:space="preserve"> (n)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F6264">
              <w:rPr>
                <w:color w:val="000000"/>
                <w:sz w:val="22"/>
                <w:szCs w:val="22"/>
              </w:rPr>
              <w:t>vest</w:t>
            </w:r>
            <w:proofErr w:type="spellEnd"/>
            <w:r w:rsidRPr="00FF6264">
              <w:rPr>
                <w:color w:val="000000"/>
                <w:sz w:val="22"/>
                <w:szCs w:val="22"/>
              </w:rPr>
              <w:t xml:space="preserve"> (n)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F6264">
              <w:rPr>
                <w:color w:val="000000"/>
                <w:sz w:val="22"/>
                <w:szCs w:val="22"/>
              </w:rPr>
              <w:t>vest</w:t>
            </w:r>
            <w:proofErr w:type="spellEnd"/>
            <w:r w:rsidRPr="00FF6264">
              <w:rPr>
                <w:color w:val="000000"/>
                <w:sz w:val="22"/>
                <w:szCs w:val="22"/>
              </w:rPr>
              <w:t xml:space="preserve"> (n)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24.3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26.9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14.6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FF6264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FF6264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34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85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78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FF6264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FF6264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c>
          <w:tcPr>
            <w:tcW w:w="2710" w:type="pct"/>
            <w:gridSpan w:val="2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FF6264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FF6264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217.39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44.45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73.53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6" w:type="pct"/>
            <w:vMerge w:val="restart"/>
            <w:textDirection w:val="btLr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 xml:space="preserve"> </w:t>
            </w:r>
          </w:p>
          <w:p w:rsidR="00FF6264" w:rsidRPr="00FF6264" w:rsidRDefault="00FF6264" w:rsidP="00FF6264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FF6264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FF6264">
              <w:rPr>
                <w:color w:val="000000"/>
                <w:sz w:val="22"/>
                <w:szCs w:val="22"/>
              </w:rPr>
              <w:t>./100 g)</w:t>
            </w:r>
          </w:p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Ca</w:t>
            </w:r>
            <w:r w:rsidRPr="00FF6264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7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5" w:type="pct"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6" w:type="pct"/>
            <w:vMerge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F6264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FF626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5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6" w:type="pct"/>
            <w:vMerge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FF6264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FF626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5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6" w:type="pct"/>
            <w:vMerge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K</w:t>
            </w:r>
            <w:r w:rsidRPr="00FF626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5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16" w:type="pct"/>
            <w:vMerge/>
            <w:tcBorders>
              <w:bottom w:val="single" w:sz="4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H</w:t>
            </w:r>
            <w:r w:rsidRPr="00FF626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5" w:type="pct"/>
            <w:tcBorders>
              <w:top w:val="single" w:sz="4" w:space="0" w:color="auto"/>
              <w:bottom w:val="single" w:sz="4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0" w:type="pct"/>
            <w:gridSpan w:val="2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FF6264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FF626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FF6264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5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0" w:type="pct"/>
            <w:gridSpan w:val="2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  <w:lang w:val="pt-BR"/>
              </w:rPr>
            </w:pPr>
            <w:r w:rsidRPr="00FF6264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FF6264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FF6264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FF6264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FF6264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FF6264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FF6264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835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FF6264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0" w:type="pct"/>
            <w:gridSpan w:val="2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FF6264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FF6264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7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5" w:type="pct"/>
            <w:tcBorders>
              <w:bottom w:val="single" w:sz="6" w:space="0" w:color="auto"/>
            </w:tcBorders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FF6264" w:rsidRPr="00FF6264" w:rsidTr="00EE1839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10" w:type="pct"/>
            <w:gridSpan w:val="2"/>
          </w:tcPr>
          <w:p w:rsidR="00FF6264" w:rsidRPr="00FF6264" w:rsidRDefault="00FF6264" w:rsidP="00FF6264">
            <w:pPr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718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37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35" w:type="pct"/>
          </w:tcPr>
          <w:p w:rsidR="00FF6264" w:rsidRPr="00FF6264" w:rsidRDefault="00FF6264" w:rsidP="00FF6264">
            <w:pPr>
              <w:jc w:val="center"/>
              <w:rPr>
                <w:color w:val="000000"/>
                <w:sz w:val="22"/>
                <w:szCs w:val="22"/>
              </w:rPr>
            </w:pPr>
            <w:r w:rsidRPr="00FF6264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FF6264" w:rsidRPr="00FF6264" w:rsidRDefault="00FF6264" w:rsidP="00FF6264">
      <w:pPr>
        <w:pStyle w:val="Textoindependiente"/>
        <w:jc w:val="both"/>
        <w:rPr>
          <w:sz w:val="22"/>
          <w:szCs w:val="22"/>
          <w:highlight w:val="green"/>
        </w:rPr>
      </w:pPr>
    </w:p>
    <w:p w:rsidR="00FF6264" w:rsidRPr="00FF6264" w:rsidRDefault="00FF6264" w:rsidP="00FF6264">
      <w:pPr>
        <w:pStyle w:val="Textoindependiente"/>
        <w:jc w:val="center"/>
        <w:rPr>
          <w:sz w:val="22"/>
          <w:szCs w:val="22"/>
        </w:rPr>
      </w:pPr>
      <w:r w:rsidRPr="00FF6264">
        <w:rPr>
          <w:sz w:val="22"/>
          <w:szCs w:val="22"/>
          <w:highlight w:val="green"/>
        </w:rPr>
        <w:br w:type="page"/>
      </w:r>
    </w:p>
    <w:p w:rsidR="00FF6264" w:rsidRPr="00FF6264" w:rsidRDefault="00FF6264" w:rsidP="00FF6264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FF6264">
        <w:rPr>
          <w:b/>
          <w:sz w:val="22"/>
          <w:szCs w:val="22"/>
          <w:u w:val="single"/>
        </w:rPr>
        <w:lastRenderedPageBreak/>
        <w:t>EXTRACTO DE SUELO SATURADO</w:t>
      </w:r>
    </w:p>
    <w:p w:rsidR="00FF6264" w:rsidRPr="00FF6264" w:rsidRDefault="00FF6264" w:rsidP="00FF6264">
      <w:pPr>
        <w:pStyle w:val="Textoindependiente"/>
        <w:jc w:val="both"/>
        <w:rPr>
          <w:sz w:val="22"/>
          <w:szCs w:val="22"/>
        </w:rPr>
      </w:pPr>
    </w:p>
    <w:p w:rsidR="00FF6264" w:rsidRPr="00FF6264" w:rsidRDefault="00FF6264" w:rsidP="00FF6264">
      <w:pPr>
        <w:pStyle w:val="Textoindependiente"/>
        <w:outlineLvl w:val="0"/>
        <w:rPr>
          <w:b/>
          <w:sz w:val="22"/>
          <w:szCs w:val="22"/>
          <w:u w:val="single"/>
        </w:rPr>
      </w:pPr>
      <w:r w:rsidRPr="00FF6264">
        <w:rPr>
          <w:b/>
          <w:sz w:val="22"/>
          <w:szCs w:val="22"/>
          <w:u w:val="single"/>
        </w:rPr>
        <w:t>Serie Arroyo San Julián</w:t>
      </w:r>
    </w:p>
    <w:p w:rsidR="00FF6264" w:rsidRPr="00FF6264" w:rsidRDefault="00FF6264" w:rsidP="00FF6264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7"/>
        <w:gridCol w:w="1142"/>
        <w:gridCol w:w="1142"/>
        <w:gridCol w:w="1142"/>
      </w:tblGrid>
      <w:tr w:rsidR="00FF6264" w:rsidRPr="00FF6264" w:rsidTr="00EE1839"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30 C"/>
              </w:smartTagPr>
              <w:r w:rsidRPr="00FF6264">
                <w:rPr>
                  <w:sz w:val="22"/>
                  <w:szCs w:val="22"/>
                </w:rPr>
                <w:t>330 C</w:t>
              </w:r>
            </w:smartTag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FF6264" w:rsidRPr="00FF6264" w:rsidTr="00EE1839">
        <w:tc>
          <w:tcPr>
            <w:tcW w:w="3847" w:type="dxa"/>
            <w:tcBorders>
              <w:top w:val="single" w:sz="4" w:space="0" w:color="auto"/>
            </w:tcBorders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A1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IIC1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IIIC2</w:t>
            </w:r>
          </w:p>
        </w:tc>
      </w:tr>
      <w:tr w:rsidR="00FF6264" w:rsidRPr="00FF6264" w:rsidTr="00EE1839">
        <w:tc>
          <w:tcPr>
            <w:tcW w:w="3847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3-7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25-50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90-120</w:t>
            </w:r>
          </w:p>
        </w:tc>
      </w:tr>
      <w:tr w:rsidR="00FF6264" w:rsidRPr="00FF6264" w:rsidTr="00EE1839">
        <w:tc>
          <w:tcPr>
            <w:tcW w:w="3847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pH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Conductividad (</w:t>
            </w:r>
            <w:proofErr w:type="spellStart"/>
            <w:r w:rsidRPr="00FF6264">
              <w:rPr>
                <w:sz w:val="22"/>
                <w:szCs w:val="22"/>
              </w:rPr>
              <w:t>mmhos</w:t>
            </w:r>
            <w:proofErr w:type="spellEnd"/>
            <w:r w:rsidRPr="00FF6264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7.0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217.39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7.3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44.45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7.3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73.53</w:t>
            </w:r>
          </w:p>
        </w:tc>
      </w:tr>
      <w:tr w:rsidR="00FF6264" w:rsidRPr="00FF6264" w:rsidTr="00EE1839">
        <w:tc>
          <w:tcPr>
            <w:tcW w:w="3847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FF6264">
              <w:rPr>
                <w:sz w:val="22"/>
                <w:szCs w:val="22"/>
              </w:rPr>
              <w:t>Cationes y aniones del extracto de suelo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FF6264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FF6264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FF6264">
              <w:rPr>
                <w:sz w:val="22"/>
                <w:szCs w:val="22"/>
                <w:lang w:val="pt-BR"/>
              </w:rPr>
              <w:t>./L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FF6264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FF6264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FF6264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FF6264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FF6264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FF6264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FF6264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FF6264">
              <w:rPr>
                <w:sz w:val="22"/>
                <w:szCs w:val="22"/>
                <w:lang w:val="en-US"/>
              </w:rPr>
              <w:t>K</w:t>
            </w:r>
            <w:r w:rsidRPr="00FF6264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FF6264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FF6264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FF6264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FF6264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455.5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679.2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840.0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3.1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12.0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122.0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2200.0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97.3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124.5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248.0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2.3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7.0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21.5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440.0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140.0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160.0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500.0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2.5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9.0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57.5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688.0</w:t>
            </w:r>
          </w:p>
        </w:tc>
      </w:tr>
      <w:tr w:rsidR="00FF6264" w:rsidRPr="00FF6264" w:rsidTr="00EE1839">
        <w:tc>
          <w:tcPr>
            <w:tcW w:w="3847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R.A.S.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35.26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33.67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23.55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25.08</w:t>
            </w:r>
          </w:p>
        </w:tc>
        <w:tc>
          <w:tcPr>
            <w:tcW w:w="1142" w:type="dxa"/>
          </w:tcPr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40.82</w:t>
            </w:r>
          </w:p>
          <w:p w:rsidR="00FF6264" w:rsidRPr="00FF6264" w:rsidRDefault="00FF6264" w:rsidP="00FF6264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F6264">
              <w:rPr>
                <w:sz w:val="22"/>
                <w:szCs w:val="22"/>
                <w:lang w:val="en-US"/>
              </w:rPr>
              <w:t>37.09</w:t>
            </w:r>
          </w:p>
        </w:tc>
      </w:tr>
    </w:tbl>
    <w:p w:rsidR="00FF6264" w:rsidRPr="00FF6264" w:rsidRDefault="00FF6264" w:rsidP="00FF6264">
      <w:pPr>
        <w:pStyle w:val="Textoindependiente"/>
        <w:jc w:val="both"/>
        <w:rPr>
          <w:sz w:val="22"/>
          <w:szCs w:val="22"/>
        </w:rPr>
      </w:pPr>
    </w:p>
    <w:p w:rsidR="00DF605A" w:rsidRPr="00FF6264" w:rsidRDefault="00DF605A" w:rsidP="00FF6264">
      <w:pPr>
        <w:rPr>
          <w:sz w:val="22"/>
          <w:szCs w:val="22"/>
        </w:rPr>
      </w:pPr>
    </w:p>
    <w:sectPr w:rsidR="00DF605A" w:rsidRPr="00FF6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64"/>
    <w:rsid w:val="00DF605A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F626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F626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F62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F626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FF6264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F626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F626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F62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F626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FF6264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660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2014-01-27T14:00:00Z</dcterms:created>
  <dcterms:modified xsi:type="dcterms:W3CDTF">2014-01-27T14:03:00Z</dcterms:modified>
</cp:coreProperties>
</file>