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A3" w:rsidRPr="00F4100D" w:rsidRDefault="00412AA3" w:rsidP="00412AA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412AA3" w:rsidRPr="00F4100D" w:rsidRDefault="00412AA3" w:rsidP="00412AA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F4100D">
        <w:rPr>
          <w:b/>
          <w:szCs w:val="24"/>
          <w:lang w:val="es-ES_tradnl"/>
        </w:rPr>
        <w:t xml:space="preserve">SERIE </w:t>
      </w:r>
      <w:r>
        <w:rPr>
          <w:b/>
          <w:szCs w:val="24"/>
          <w:lang w:val="es-ES_tradnl"/>
        </w:rPr>
        <w:t>BRASILERA</w:t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  <w:t xml:space="preserve">                </w:t>
      </w:r>
      <w:r>
        <w:rPr>
          <w:b/>
          <w:szCs w:val="24"/>
          <w:lang w:val="es-ES_tradnl"/>
        </w:rPr>
        <w:t xml:space="preserve">  </w:t>
      </w:r>
      <w:r w:rsidRPr="00F4100D">
        <w:rPr>
          <w:szCs w:val="24"/>
          <w:lang w:val="es-ES_tradnl"/>
        </w:rPr>
        <w:t>Símbolo:</w:t>
      </w:r>
      <w:r w:rsidRPr="00F4100D">
        <w:rPr>
          <w:b/>
          <w:szCs w:val="24"/>
          <w:lang w:val="es-ES_tradnl"/>
        </w:rPr>
        <w:t xml:space="preserve"> </w:t>
      </w:r>
      <w:proofErr w:type="spellStart"/>
      <w:r>
        <w:rPr>
          <w:b/>
          <w:szCs w:val="24"/>
          <w:lang w:val="es-ES_tradnl"/>
        </w:rPr>
        <w:t>Bra</w:t>
      </w:r>
      <w:proofErr w:type="spellEnd"/>
    </w:p>
    <w:p w:rsidR="00412AA3" w:rsidRDefault="00412AA3" w:rsidP="00412AA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412AA3" w:rsidRPr="00412AA3" w:rsidRDefault="00412AA3" w:rsidP="00412AA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>Pertenece a la familia "muy fina, levemente alcalina, térmica" de los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u w:val="single"/>
          <w:lang w:val="es-ES_tradnl"/>
        </w:rPr>
        <w:t>Cromudertes</w:t>
      </w:r>
      <w:proofErr w:type="spellEnd"/>
      <w:r w:rsidRPr="00412AA3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u w:val="single"/>
          <w:lang w:val="es-ES_tradnl"/>
        </w:rPr>
        <w:t>árgicos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Vertisoles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con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y un B2 textural de color pardo muy oscuro). Muestra raramente un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linear poco visible en la fotografía aérea, con ciclos de 4-5 m y altibajos de hasta 10 cm. Suelos moderadamente erosionados, imperfectamente drenados y ligeramente alcalinos en el subsuelo, con un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arcillo-limoso, bien estructurado por el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self-mulching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" y un horizonte B2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argílicom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, arcilloso, con concreciones de calcáreo que aparecen entre los 70-80 cm.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>Suelos desarrollados en limos calcáreos, arcillo-limosos.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 ER7-86C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 4-VIII-1989.  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Alrededores de Aldea Brasilera (foto 445-62) - Dpto. Diamante.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412AA3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412AA3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16 cm; gris parduzco muy oscuro (10YR 3/1.5)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arcillolimoso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; estructura en bloques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, medios, moderados; duro en seco; friable en húmedo; barnices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", abundantes y gruesos, y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 escasos y finos; moteados de hierro comunes, finos y precisos; límite claro, suave.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16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33 cm; pardo grisáceo muy oscuro (7.5YR 3.5/2)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medios, moderados, que rompen en bloques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y angulares irregulares, medios, fuertes; extremadamente duro en seco; firme en húmedo; barnices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 abundantes y medios, y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", escasos a abundantes, finos; caras de fricción ("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") abundantes, finas e intersectadas; moteados de hierro comunes, medios y precisos; concreciones calcáreas escasas y finas; límite claro, ondulado.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412AA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33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74 cm; gris parduzco (7.5YR 4.5/4)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limoso; estructura en prismas compuestos irregulares, gruesos, fuertes, que rompen en bloques angulares irregulares y bloques cuneiformes, medios, moderados; extremadamente duro en seco; firme  en húmedo; barnices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", escasos y finos; caras de fricción ("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") abundantes, gruesas, no intersectadas; concreciones de hierro</w:t>
      </w:r>
      <w:r w:rsidRPr="00412AA3">
        <w:rPr>
          <w:rFonts w:ascii="Times New Roman" w:hAnsi="Times New Roman"/>
          <w:sz w:val="22"/>
          <w:szCs w:val="22"/>
          <w:lang w:val="es-ES_tradnl"/>
        </w:rPr>
        <w:noBreakHyphen/>
        <w:t>manganeso de hasta 0.2 cm, escasas y finas; moteados de hierro y manganeso comunes, finos y precisos; escasa cantidad de carbonatos libres en la masa; concreciones calcáreas escasas; grietas que se extiende hasta la base de este horizonte, rellenas de material superior; raíces aplastadas en las caras de fricción; límite gradual, ondulado.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t>B23tca: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74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90 cm; pardo (7.5YR 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limoso a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medios, moderados, que rompen en bloques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extremadamente duro en seco; firme  en húmedo; barnices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", abundantes, finos a medios; caras de fricción ("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") abundantes, gruesas, no intersectadas; moteados de hierro y manganeso comunes, medios y precisos; abundante cantidad de carbonatos libres en la masa; concreciones calcáreas abundantes; límite claro, suave.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lang w:val="es-ES_tradnl"/>
        </w:rPr>
        <w:lastRenderedPageBreak/>
        <w:t>B3ca</w:t>
      </w:r>
      <w:r w:rsidRPr="00412AA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90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107 cm; pardo fuerte (7.5YR 5/6)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limoso; estructura en bloques angulares irregulares y bloques cuneiformes, medios, moderados; friable en húmedo; barnices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", escasos, finos; caras de fricción ("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") fósiles, abundantes y gruesas, no intersectadas; moteados de hierro y manganeso comunes, finos y precisos; abundante cantidad de carbonatos libres en la masa; concreciones calcáreas abundantes, duras y en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miscelio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; límite claro, suave.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412AA3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412AA3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412AA3">
        <w:rPr>
          <w:rFonts w:ascii="Times New Roman" w:hAnsi="Times New Roman"/>
          <w:sz w:val="22"/>
          <w:szCs w:val="22"/>
          <w:lang w:val="es-ES_tradnl"/>
        </w:rPr>
        <w:t>107+ cm; amarillo rojizo (7.5YR 7.5/6)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limoso; estructura masiva; abundante cantidad de carbonatos libres en la masa; concreciones calcáreas escasas, duras, y abundantes en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miscelio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Poco se conoce sobre la variabilidad de las características morfológicas de la Serie Brasilera. Los factores que inciden en el amplio rango de variación de las mismas, </w:t>
      </w:r>
      <w:r w:rsidRPr="00412AA3">
        <w:rPr>
          <w:rFonts w:ascii="Times New Roman" w:hAnsi="Times New Roman"/>
          <w:sz w:val="22"/>
          <w:szCs w:val="22"/>
          <w:lang w:val="es-ES_tradnl"/>
        </w:rPr>
        <w:t>están</w:t>
      </w:r>
      <w:r w:rsidRPr="00412AA3">
        <w:rPr>
          <w:rFonts w:ascii="Times New Roman" w:hAnsi="Times New Roman"/>
          <w:sz w:val="22"/>
          <w:szCs w:val="22"/>
          <w:lang w:val="es-ES_tradnl"/>
        </w:rPr>
        <w:t xml:space="preserve"> relacionados con la erosión y la posición en el paisaje. La erosión, que en la mayoría de los casos es natural o "geológica", ha atenuado el desarrollo del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, observándose más comúnmente en el talud de los caminos.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>, somero, no supera los 18 cm de profundidad. Raramente incluye un horizonte transicional B1, siendo abrupto el cambio hacia el horizonte B2 textural, de estructura prismática que rompe en bloques angulares y bloques cuneiformes. Muestra abundantes caras de fricción ("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") finas y gruesas, intersectadas (que en el horizonte B3ca son "fósiles"), grietas rellenas por material de horizontes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suprayacentes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, y abundantes raíces aplastadas en las caras de fricción. 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supera siempre los 35 cm de espesor -que, en casos excepcionales, llega a un máximo de 75 cm- y posee 60-65 % de arcilla en su parte superior (B21t) y 50-60 % en la parte inferior (B22t, B23tca).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Cca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muestra condiciones de reducción ("gley") fósil (inherente al material parental limo-calcáreo).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No se han establecido fases a </w:t>
      </w:r>
      <w:r w:rsidR="0033056E">
        <w:rPr>
          <w:rFonts w:ascii="Times New Roman" w:hAnsi="Times New Roman"/>
          <w:sz w:val="22"/>
          <w:szCs w:val="22"/>
          <w:lang w:val="es-ES_tradnl"/>
        </w:rPr>
        <w:t>escala de reconocimiento (1:100.</w:t>
      </w:r>
      <w:bookmarkStart w:id="0" w:name="_GoBack"/>
      <w:bookmarkEnd w:id="0"/>
      <w:r w:rsidRPr="00412AA3">
        <w:rPr>
          <w:rFonts w:ascii="Times New Roman" w:hAnsi="Times New Roman"/>
          <w:sz w:val="22"/>
          <w:szCs w:val="22"/>
          <w:lang w:val="es-ES_tradnl"/>
        </w:rPr>
        <w:t>000)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Se parece a la series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Febré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y Las Mercedes, pero éstas se ubican en un paisaje distinto (terrazas de erosión y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suavemente ondulada con manto de loess de muy poco espesor, respectivamente).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Fisiografía y extensión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La Serie Brasilera ocupa las lomas bajas e intermedias, entre los 65-75 m.s.n.m. de la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ondulada con manto de loess de espesor variable. Es una serie poco representativa, limitándose su </w:t>
      </w:r>
      <w:r w:rsidRPr="00412AA3">
        <w:rPr>
          <w:rFonts w:ascii="Times New Roman" w:hAnsi="Times New Roman"/>
          <w:sz w:val="22"/>
          <w:szCs w:val="22"/>
          <w:lang w:val="es-ES_tradnl"/>
        </w:rPr>
        <w:lastRenderedPageBreak/>
        <w:t>extensión a los alrededores de la localidad de Aldea Brasilera (margen izquierda de la cuenca del arroyo Salto).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>Imperfectamente drenado; escurrimiento superficial rápido. Permeabilidad muy lenta. Napa freática profunda. Grupo hidrológico D.</w:t>
      </w:r>
    </w:p>
    <w:p w:rsid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t xml:space="preserve">La Serie Brasilera está moderadamente erosionada y posee un moderado a severo peligro de erosión potencial en surcos y cárcavas. La fase severamente erosionada (no descripta para esta escala de mapeo) posee un </w:t>
      </w:r>
      <w:proofErr w:type="spellStart"/>
      <w:r w:rsidRPr="00412AA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412AA3">
        <w:rPr>
          <w:rFonts w:ascii="Times New Roman" w:hAnsi="Times New Roman"/>
          <w:sz w:val="22"/>
          <w:szCs w:val="22"/>
          <w:lang w:val="es-ES_tradnl"/>
        </w:rPr>
        <w:t xml:space="preserve"> muy somero (aprox. 7 cm), arcilloso, con grietas y concreciones de arrastre en superficie.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sz w:val="22"/>
          <w:szCs w:val="22"/>
          <w:lang w:val="es-ES_tradnl"/>
        </w:rPr>
        <w:br w:type="page"/>
      </w: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12AA3" w:rsidRPr="00412AA3" w:rsidRDefault="00412AA3" w:rsidP="00412AA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412AA3">
        <w:rPr>
          <w:rFonts w:ascii="Times New Roman" w:hAnsi="Times New Roman"/>
          <w:b/>
          <w:sz w:val="22"/>
          <w:szCs w:val="22"/>
          <w:u w:val="single"/>
          <w:lang w:val="es-ES_tradnl"/>
        </w:rPr>
        <w:t>Serie Brasilera</w:t>
      </w:r>
    </w:p>
    <w:p w:rsidR="00412AA3" w:rsidRPr="00412AA3" w:rsidRDefault="00412AA3" w:rsidP="00412AA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838"/>
        <w:gridCol w:w="838"/>
        <w:gridCol w:w="888"/>
        <w:gridCol w:w="838"/>
        <w:gridCol w:w="903"/>
        <w:gridCol w:w="903"/>
      </w:tblGrid>
      <w:tr w:rsidR="00412AA3" w:rsidRPr="00246B21" w:rsidTr="00AE5A05">
        <w:tc>
          <w:tcPr>
            <w:tcW w:w="2802" w:type="dxa"/>
          </w:tcPr>
          <w:p w:rsidR="00412AA3" w:rsidRPr="00246B21" w:rsidRDefault="00412AA3" w:rsidP="00412AA3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ER7-8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5329</w:t>
            </w: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5330</w:t>
            </w:r>
          </w:p>
        </w:tc>
        <w:tc>
          <w:tcPr>
            <w:tcW w:w="88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5331</w:t>
            </w: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5332</w:t>
            </w:r>
          </w:p>
        </w:tc>
        <w:tc>
          <w:tcPr>
            <w:tcW w:w="903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5333</w:t>
            </w:r>
          </w:p>
        </w:tc>
        <w:tc>
          <w:tcPr>
            <w:tcW w:w="903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5334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3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88" w:type="dxa"/>
          </w:tcPr>
          <w:p w:rsidR="00412AA3" w:rsidRPr="00246B21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B23tca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00-16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16-33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33-74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74-90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90-107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117+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4.71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2.96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1.28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0.23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0.21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0.13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0.15</w:t>
            </w:r>
          </w:p>
        </w:tc>
      </w:tr>
      <w:tr w:rsidR="00412AA3" w:rsidRPr="00246B21" w:rsidTr="00AE5A05">
        <w:tc>
          <w:tcPr>
            <w:tcW w:w="2802" w:type="dxa"/>
            <w:tcBorders>
              <w:bottom w:val="single" w:sz="4" w:space="0" w:color="auto"/>
            </w:tcBorders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</w:tr>
      <w:tr w:rsidR="00412AA3" w:rsidRPr="00246B21" w:rsidTr="00AE5A05">
        <w:tc>
          <w:tcPr>
            <w:tcW w:w="2802" w:type="dxa"/>
            <w:tcBorders>
              <w:top w:val="single" w:sz="4" w:space="0" w:color="auto"/>
            </w:tcBorders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&lt; 2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12AA3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46.40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12AA3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71.30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412AA3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62.31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12AA3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55.80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412AA3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53.50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412AA3" w:rsidRDefault="00412AA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47.20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2-20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23.60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19.27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18.20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21.60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39.90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36.70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2-50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51.80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27.60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36.90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43.50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46.00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52.40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50-100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1.40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0.82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0.65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0.53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0.44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0.28</w:t>
            </w:r>
          </w:p>
        </w:tc>
      </w:tr>
      <w:tr w:rsidR="00412AA3" w:rsidRPr="00246B21" w:rsidTr="00AE5A05">
        <w:tc>
          <w:tcPr>
            <w:tcW w:w="2802" w:type="dxa"/>
          </w:tcPr>
          <w:p w:rsidR="00412AA3" w:rsidRPr="00246B21" w:rsidRDefault="00412AA3" w:rsidP="00AE5A0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U      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100-50</w:t>
            </w:r>
            <w:r w:rsidR="00AE5A05"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0.43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0.20</w:t>
            </w:r>
          </w:p>
        </w:tc>
        <w:tc>
          <w:tcPr>
            <w:tcW w:w="88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</w:t>
            </w:r>
          </w:p>
        </w:tc>
        <w:tc>
          <w:tcPr>
            <w:tcW w:w="838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0.10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903" w:type="dxa"/>
          </w:tcPr>
          <w:p w:rsidR="00412AA3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0.15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AE5A0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500-1000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903" w:type="dxa"/>
          </w:tcPr>
          <w:p w:rsidR="00AE5A05" w:rsidRPr="00246B21" w:rsidRDefault="00AE5A05" w:rsidP="00D86C41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AE5A0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00-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AE5A05" w:rsidRPr="00246B21" w:rsidTr="00AE5A05">
        <w:tc>
          <w:tcPr>
            <w:tcW w:w="2802" w:type="dxa"/>
            <w:tcBorders>
              <w:bottom w:val="single" w:sz="4" w:space="0" w:color="auto"/>
            </w:tcBorders>
          </w:tcPr>
          <w:p w:rsidR="00AE5A05" w:rsidRPr="00246B21" w:rsidRDefault="00AE5A05" w:rsidP="00AE5A0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AE5A05" w:rsidRPr="00246B21" w:rsidTr="00AE5A05">
        <w:tc>
          <w:tcPr>
            <w:tcW w:w="2802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2.2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12.9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10.3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7.9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7.9</w:t>
            </w: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</w:t>
            </w: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</w:t>
            </w:r>
          </w:p>
        </w:tc>
      </w:tr>
      <w:tr w:rsidR="00AE5A05" w:rsidRPr="00246B21" w:rsidTr="00AE5A05">
        <w:tc>
          <w:tcPr>
            <w:tcW w:w="2802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7.9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</w:t>
            </w:r>
          </w:p>
        </w:tc>
      </w:tr>
      <w:tr w:rsidR="00AE5A05" w:rsidRPr="00246B21" w:rsidTr="00AE5A05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43.70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48.50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45.40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AE5A05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3056E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41.20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37.80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41.70</w:t>
            </w:r>
          </w:p>
        </w:tc>
        <w:tc>
          <w:tcPr>
            <w:tcW w:w="88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42.10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38.20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2.90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3.50</w:t>
            </w:r>
          </w:p>
        </w:tc>
        <w:tc>
          <w:tcPr>
            <w:tcW w:w="88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2.00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0.95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0.61</w:t>
            </w:r>
          </w:p>
        </w:tc>
        <w:tc>
          <w:tcPr>
            <w:tcW w:w="88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0.39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0.47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0.36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0.73</w:t>
            </w: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AE5A05" w:rsidRPr="00246B21" w:rsidTr="00AE5A05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0.21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  <w:tc>
          <w:tcPr>
            <w:tcW w:w="88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0.53</w:t>
            </w:r>
          </w:p>
        </w:tc>
        <w:tc>
          <w:tcPr>
            <w:tcW w:w="838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0.53</w:t>
            </w:r>
          </w:p>
        </w:tc>
        <w:tc>
          <w:tcPr>
            <w:tcW w:w="903" w:type="dxa"/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</w:tr>
      <w:tr w:rsidR="00AE5A05" w:rsidRPr="00246B21" w:rsidTr="0033056E">
        <w:tc>
          <w:tcPr>
            <w:tcW w:w="2802" w:type="dxa"/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AE5A05" w:rsidRPr="00246B21" w:rsidTr="0033056E">
        <w:tc>
          <w:tcPr>
            <w:tcW w:w="2802" w:type="dxa"/>
            <w:tcBorders>
              <w:bottom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AE5A05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AE5A05" w:rsidRPr="00246B21" w:rsidTr="0033056E">
        <w:tc>
          <w:tcPr>
            <w:tcW w:w="2802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AE5A05" w:rsidRPr="00246B21" w:rsidRDefault="00AE5A05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3056E" w:rsidRPr="00246B21" w:rsidTr="0033056E">
        <w:tc>
          <w:tcPr>
            <w:tcW w:w="2802" w:type="dxa"/>
          </w:tcPr>
          <w:p w:rsidR="0033056E" w:rsidRPr="0033056E" w:rsidRDefault="0033056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33056E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8" w:type="dxa"/>
          </w:tcPr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39.29</w:t>
            </w:r>
          </w:p>
        </w:tc>
        <w:tc>
          <w:tcPr>
            <w:tcW w:w="838" w:type="dxa"/>
          </w:tcPr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47.63</w:t>
            </w:r>
          </w:p>
        </w:tc>
        <w:tc>
          <w:tcPr>
            <w:tcW w:w="888" w:type="dxa"/>
          </w:tcPr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46.58</w:t>
            </w:r>
          </w:p>
        </w:tc>
        <w:tc>
          <w:tcPr>
            <w:tcW w:w="838" w:type="dxa"/>
          </w:tcPr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44.81</w:t>
            </w:r>
          </w:p>
        </w:tc>
        <w:tc>
          <w:tcPr>
            <w:tcW w:w="903" w:type="dxa"/>
          </w:tcPr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42.35</w:t>
            </w:r>
          </w:p>
        </w:tc>
        <w:tc>
          <w:tcPr>
            <w:tcW w:w="903" w:type="dxa"/>
          </w:tcPr>
          <w:p w:rsidR="0033056E" w:rsidRPr="00246B21" w:rsidRDefault="0033056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38.52</w:t>
            </w:r>
          </w:p>
        </w:tc>
      </w:tr>
    </w:tbl>
    <w:p w:rsidR="00C767B4" w:rsidRPr="00412AA3" w:rsidRDefault="00C767B4" w:rsidP="0033056E">
      <w:pPr>
        <w:jc w:val="both"/>
        <w:rPr>
          <w:rFonts w:ascii="Courier New" w:hAnsi="Courier New" w:cs="Courier New"/>
          <w:sz w:val="14"/>
          <w:szCs w:val="14"/>
        </w:rPr>
      </w:pPr>
    </w:p>
    <w:sectPr w:rsidR="00C767B4" w:rsidRPr="00412AA3" w:rsidSect="00412AA3">
      <w:type w:val="continuous"/>
      <w:pgSz w:w="12242" w:h="15842" w:code="119"/>
      <w:pgMar w:top="1418" w:right="1701" w:bottom="1418" w:left="1701" w:header="708" w:footer="708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A3"/>
    <w:rsid w:val="0033056E"/>
    <w:rsid w:val="00412AA3"/>
    <w:rsid w:val="00AE5A05"/>
    <w:rsid w:val="00C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A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2AA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412A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412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A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2AA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412A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412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2014-03-05T14:31:00Z</dcterms:created>
  <dcterms:modified xsi:type="dcterms:W3CDTF">2014-03-05T14:57:00Z</dcterms:modified>
</cp:coreProperties>
</file>