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DBD" w:rsidRDefault="00DF7DBD" w:rsidP="00DF7DBD">
      <w:pPr>
        <w:spacing w:after="0" w:line="240" w:lineRule="auto"/>
        <w:rPr>
          <w:rFonts w:ascii="Times New Roman" w:hAnsi="Times New Roman" w:cs="Times New Roman"/>
        </w:rPr>
      </w:pPr>
    </w:p>
    <w:p w:rsidR="00DF7DBD" w:rsidRPr="00DF7DBD" w:rsidRDefault="00DF7DBD" w:rsidP="00DF7DBD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b/>
          <w:szCs w:val="24"/>
        </w:rPr>
      </w:pPr>
      <w:r w:rsidRPr="00DF7DBD">
        <w:rPr>
          <w:b/>
          <w:szCs w:val="24"/>
        </w:rPr>
        <w:t xml:space="preserve">SERIE CAÑADA GRANDE                                                                     </w:t>
      </w:r>
      <w:r>
        <w:rPr>
          <w:b/>
          <w:szCs w:val="24"/>
        </w:rPr>
        <w:t xml:space="preserve"> </w:t>
      </w:r>
      <w:r w:rsidRPr="00DF7DBD">
        <w:rPr>
          <w:b/>
          <w:szCs w:val="24"/>
        </w:rPr>
        <w:t xml:space="preserve">    Símbolo: </w:t>
      </w:r>
      <w:proofErr w:type="spellStart"/>
      <w:r w:rsidRPr="00DF7DBD">
        <w:rPr>
          <w:b/>
          <w:szCs w:val="24"/>
        </w:rPr>
        <w:t>CñG</w:t>
      </w:r>
      <w:proofErr w:type="spellEnd"/>
    </w:p>
    <w:p w:rsidR="00DF7DBD" w:rsidRPr="00DF7DBD" w:rsidRDefault="00DF7DBD" w:rsidP="00DF7DBD">
      <w:pPr>
        <w:spacing w:after="0" w:line="240" w:lineRule="auto"/>
        <w:rPr>
          <w:rFonts w:ascii="Times New Roman" w:hAnsi="Times New Roman" w:cs="Times New Roman"/>
        </w:rPr>
      </w:pPr>
    </w:p>
    <w:p w:rsidR="00DF7DBD" w:rsidRPr="00DF7DBD" w:rsidRDefault="00DF7DBD" w:rsidP="00DF7DBD">
      <w:pPr>
        <w:spacing w:after="0" w:line="240" w:lineRule="auto"/>
        <w:rPr>
          <w:rFonts w:ascii="Times New Roman" w:hAnsi="Times New Roman" w:cs="Times New Roman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F7DBD">
        <w:rPr>
          <w:rFonts w:ascii="Times New Roman" w:hAnsi="Times New Roman" w:cs="Times New Roman"/>
          <w:lang w:val="es-ES_tradnl"/>
        </w:rPr>
        <w:t xml:space="preserve">Pertenece a la familia "fina, mixta, térmica" de los </w:t>
      </w:r>
      <w:proofErr w:type="spellStart"/>
      <w:r w:rsidRPr="00DF7DBD">
        <w:rPr>
          <w:rFonts w:ascii="Times New Roman" w:hAnsi="Times New Roman" w:cs="Times New Roman"/>
          <w:u w:val="single"/>
          <w:lang w:val="es-ES_tradnl"/>
        </w:rPr>
        <w:t>Argiudoles</w:t>
      </w:r>
      <w:proofErr w:type="spellEnd"/>
      <w:r w:rsidRPr="00DF7DBD">
        <w:rPr>
          <w:rFonts w:ascii="Times New Roman" w:hAnsi="Times New Roman" w:cs="Times New Roman"/>
          <w:u w:val="single"/>
          <w:lang w:val="es-ES_tradnl"/>
        </w:rPr>
        <w:t xml:space="preserve"> </w:t>
      </w:r>
      <w:proofErr w:type="spellStart"/>
      <w:r w:rsidRPr="00DF7DBD">
        <w:rPr>
          <w:rFonts w:ascii="Times New Roman" w:hAnsi="Times New Roman" w:cs="Times New Roman"/>
          <w:u w:val="single"/>
          <w:lang w:val="es-ES_tradnl"/>
        </w:rPr>
        <w:t>cumúlicos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(</w:t>
      </w:r>
      <w:proofErr w:type="spellStart"/>
      <w:r w:rsidRPr="00DF7DBD">
        <w:rPr>
          <w:rFonts w:ascii="Times New Roman" w:hAnsi="Times New Roman" w:cs="Times New Roman"/>
          <w:lang w:val="es-ES_tradnl"/>
        </w:rPr>
        <w:t>Brunizems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F7DBD">
        <w:rPr>
          <w:rFonts w:ascii="Times New Roman" w:hAnsi="Times New Roman" w:cs="Times New Roman"/>
          <w:lang w:val="es-ES_tradnl"/>
        </w:rPr>
        <w:t>hidromorficos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engrosados). Son suelos muy profundos, con un </w:t>
      </w:r>
      <w:proofErr w:type="spellStart"/>
      <w:r w:rsidRPr="00DF7DBD">
        <w:rPr>
          <w:rFonts w:ascii="Times New Roman" w:hAnsi="Times New Roman" w:cs="Times New Roman"/>
          <w:lang w:val="es-ES_tradnl"/>
        </w:rPr>
        <w:t>epipedón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engrosado, oscuro, franco-limoso, imperfecta a moderadamente bien drenados, con un exceso de agua (sub)superficial de áreas vecinas más altas, formando una </w:t>
      </w:r>
      <w:proofErr w:type="spellStart"/>
      <w:r w:rsidRPr="00DF7DBD">
        <w:rPr>
          <w:rFonts w:ascii="Times New Roman" w:hAnsi="Times New Roman" w:cs="Times New Roman"/>
          <w:lang w:val="es-ES_tradnl"/>
        </w:rPr>
        <w:t>napa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freática "suspendida").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F7DBD">
        <w:rPr>
          <w:rFonts w:ascii="Times New Roman" w:hAnsi="Times New Roman" w:cs="Times New Roman"/>
          <w:lang w:val="es-ES_tradnl"/>
        </w:rPr>
        <w:tab/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F7DBD">
        <w:rPr>
          <w:rFonts w:ascii="Times New Roman" w:hAnsi="Times New Roman" w:cs="Times New Roman"/>
          <w:lang w:val="es-ES_tradnl"/>
        </w:rPr>
        <w:t xml:space="preserve">Suelos desarrollados en loess </w:t>
      </w:r>
      <w:proofErr w:type="spellStart"/>
      <w:r w:rsidRPr="00DF7DBD">
        <w:rPr>
          <w:rFonts w:ascii="Times New Roman" w:hAnsi="Times New Roman" w:cs="Times New Roman"/>
          <w:lang w:val="es-ES_tradnl"/>
        </w:rPr>
        <w:t>coluvial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y/o materiales </w:t>
      </w:r>
      <w:proofErr w:type="spellStart"/>
      <w:r w:rsidRPr="00DF7DBD">
        <w:rPr>
          <w:rFonts w:ascii="Times New Roman" w:hAnsi="Times New Roman" w:cs="Times New Roman"/>
          <w:lang w:val="es-ES_tradnl"/>
        </w:rPr>
        <w:t>loessoides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recientemente </w:t>
      </w:r>
      <w:proofErr w:type="spellStart"/>
      <w:r w:rsidRPr="00DF7DBD">
        <w:rPr>
          <w:rFonts w:ascii="Times New Roman" w:hAnsi="Times New Roman" w:cs="Times New Roman"/>
          <w:lang w:val="es-ES_tradnl"/>
        </w:rPr>
        <w:t>retransportados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y decalcificados a gran profundidad.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b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b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F7DBD">
        <w:rPr>
          <w:rFonts w:ascii="Times New Roman" w:hAnsi="Times New Roman" w:cs="Times New Roman"/>
          <w:b/>
          <w:lang w:val="es-ES_tradnl"/>
        </w:rPr>
        <w:t xml:space="preserve">Perfil tipo: </w:t>
      </w:r>
      <w:r w:rsidRPr="00DF7DBD">
        <w:rPr>
          <w:rFonts w:ascii="Times New Roman" w:hAnsi="Times New Roman" w:cs="Times New Roman"/>
          <w:lang w:val="es-ES_tradnl"/>
        </w:rPr>
        <w:t>ER7-</w:t>
      </w:r>
      <w:smartTag w:uri="urn:schemas-microsoft-com:office:smarttags" w:element="metricconverter">
        <w:smartTagPr>
          <w:attr w:name="ProductID" w:val="69C"/>
        </w:smartTagPr>
        <w:r w:rsidRPr="00DF7DBD">
          <w:rPr>
            <w:rFonts w:ascii="Times New Roman" w:hAnsi="Times New Roman" w:cs="Times New Roman"/>
            <w:lang w:val="es-ES_tradnl"/>
          </w:rPr>
          <w:t>69C</w:t>
        </w:r>
      </w:smartTag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F7DBD">
        <w:rPr>
          <w:rFonts w:ascii="Times New Roman" w:hAnsi="Times New Roman" w:cs="Times New Roman"/>
          <w:b/>
          <w:lang w:val="es-ES_tradnl"/>
        </w:rPr>
        <w:t xml:space="preserve">Fecha: </w:t>
      </w:r>
      <w:r w:rsidRPr="00DF7DBD">
        <w:rPr>
          <w:rFonts w:ascii="Times New Roman" w:hAnsi="Times New Roman" w:cs="Times New Roman"/>
          <w:lang w:val="es-ES_tradnl"/>
        </w:rPr>
        <w:t>21-IV-1989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F7DBD">
        <w:rPr>
          <w:rFonts w:ascii="Times New Roman" w:hAnsi="Times New Roman" w:cs="Times New Roman"/>
          <w:b/>
          <w:lang w:val="es-ES_tradnl"/>
        </w:rPr>
        <w:t>Localización:</w:t>
      </w:r>
      <w:r w:rsidRPr="00DF7DB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F7DBD">
        <w:rPr>
          <w:rFonts w:ascii="Times New Roman" w:hAnsi="Times New Roman" w:cs="Times New Roman"/>
          <w:lang w:val="es-ES_tradnl"/>
        </w:rPr>
        <w:t>Doll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(foto 432-80) - Dpto. Diamante.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F7DBD">
        <w:rPr>
          <w:rFonts w:ascii="Times New Roman" w:hAnsi="Times New Roman" w:cs="Times New Roman"/>
          <w:b/>
          <w:lang w:val="es-ES_tradnl"/>
        </w:rPr>
        <w:t>Reconocedores</w:t>
      </w:r>
      <w:r w:rsidRPr="00DF7DBD">
        <w:rPr>
          <w:rFonts w:ascii="Times New Roman" w:hAnsi="Times New Roman" w:cs="Times New Roman"/>
          <w:lang w:val="es-ES_tradnl"/>
        </w:rPr>
        <w:t xml:space="preserve">: L.O. López; O.A. </w:t>
      </w:r>
      <w:proofErr w:type="spellStart"/>
      <w:r w:rsidRPr="00DF7DBD">
        <w:rPr>
          <w:rFonts w:ascii="Times New Roman" w:hAnsi="Times New Roman" w:cs="Times New Roman"/>
          <w:lang w:val="es-ES_tradnl"/>
        </w:rPr>
        <w:t>Foti</w:t>
      </w:r>
      <w:proofErr w:type="spellEnd"/>
      <w:r w:rsidRPr="00DF7DBD">
        <w:rPr>
          <w:rFonts w:ascii="Times New Roman" w:hAnsi="Times New Roman" w:cs="Times New Roman"/>
          <w:lang w:val="es-ES_tradnl"/>
        </w:rPr>
        <w:t>.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DF7DBD">
        <w:rPr>
          <w:rFonts w:ascii="Times New Roman" w:hAnsi="Times New Roman" w:cs="Times New Roman"/>
          <w:b/>
          <w:lang w:val="es-ES_tradnl"/>
        </w:rPr>
        <w:t>Ap</w:t>
      </w:r>
      <w:proofErr w:type="spellEnd"/>
      <w:r w:rsidRPr="00DF7DBD">
        <w:rPr>
          <w:rFonts w:ascii="Times New Roman" w:hAnsi="Times New Roman" w:cs="Times New Roman"/>
          <w:b/>
          <w:lang w:val="es-ES_tradnl"/>
        </w:rPr>
        <w:t>:</w:t>
      </w:r>
      <w:r>
        <w:rPr>
          <w:rFonts w:ascii="Times New Roman" w:hAnsi="Times New Roman" w:cs="Times New Roman"/>
          <w:b/>
          <w:lang w:val="es-ES_tradnl"/>
        </w:rPr>
        <w:t xml:space="preserve"> </w:t>
      </w:r>
      <w:r w:rsidRPr="00DF7DBD">
        <w:rPr>
          <w:rFonts w:ascii="Times New Roman" w:hAnsi="Times New Roman" w:cs="Times New Roman"/>
          <w:lang w:val="es-ES_tradnl"/>
        </w:rPr>
        <w:t>00-</w:t>
      </w:r>
      <w:smartTag w:uri="urn:schemas-microsoft-com:office:smarttags" w:element="metricconverter">
        <w:smartTagPr>
          <w:attr w:name="ProductID" w:val="22 cm"/>
        </w:smartTagPr>
        <w:r w:rsidRPr="00DF7DBD">
          <w:rPr>
            <w:rFonts w:ascii="Times New Roman" w:hAnsi="Times New Roman" w:cs="Times New Roman"/>
            <w:lang w:val="es-ES_tradnl"/>
          </w:rPr>
          <w:t>22 cm</w:t>
        </w:r>
      </w:smartTag>
      <w:r w:rsidRPr="00DF7DBD">
        <w:rPr>
          <w:rFonts w:ascii="Times New Roman" w:hAnsi="Times New Roman" w:cs="Times New Roman"/>
          <w:lang w:val="es-ES_tradnl"/>
        </w:rPr>
        <w:t xml:space="preserve">; pardo grisáceo muy oscuro (10YR 3/1.5) en húmedo; pardo grisáceo (10YR 5/2) en seco; franco-limoso; estructura granular y en bloques </w:t>
      </w:r>
      <w:proofErr w:type="spellStart"/>
      <w:r w:rsidRPr="00DF7DBD">
        <w:rPr>
          <w:rFonts w:ascii="Times New Roman" w:hAnsi="Times New Roman" w:cs="Times New Roman"/>
          <w:lang w:val="es-ES_tradnl"/>
        </w:rPr>
        <w:t>subangulares</w:t>
      </w:r>
      <w:proofErr w:type="spellEnd"/>
      <w:r w:rsidRPr="00DF7DBD">
        <w:rPr>
          <w:rFonts w:ascii="Times New Roman" w:hAnsi="Times New Roman" w:cs="Times New Roman"/>
          <w:lang w:val="es-ES_tradnl"/>
        </w:rPr>
        <w:t>, medios, débiles; friable en húmedo; barnices "</w:t>
      </w:r>
      <w:proofErr w:type="spellStart"/>
      <w:r w:rsidRPr="00DF7DBD">
        <w:rPr>
          <w:rFonts w:ascii="Times New Roman" w:hAnsi="Times New Roman" w:cs="Times New Roman"/>
          <w:lang w:val="es-ES_tradnl"/>
        </w:rPr>
        <w:t>humic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F7DBD">
        <w:rPr>
          <w:rFonts w:ascii="Times New Roman" w:hAnsi="Times New Roman" w:cs="Times New Roman"/>
          <w:lang w:val="es-ES_tradnl"/>
        </w:rPr>
        <w:t>skins</w:t>
      </w:r>
      <w:proofErr w:type="spellEnd"/>
      <w:r w:rsidRPr="00DF7DBD">
        <w:rPr>
          <w:rFonts w:ascii="Times New Roman" w:hAnsi="Times New Roman" w:cs="Times New Roman"/>
          <w:lang w:val="es-ES_tradnl"/>
        </w:rPr>
        <w:t>", escasos a medios; moteados de hierro y manganeso comunes, finos y precisos; límite gradual, suave.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F7DBD">
        <w:rPr>
          <w:rFonts w:ascii="Times New Roman" w:hAnsi="Times New Roman" w:cs="Times New Roman"/>
          <w:b/>
          <w:lang w:val="es-ES_tradnl"/>
        </w:rPr>
        <w:t>A12:</w:t>
      </w:r>
      <w:r>
        <w:rPr>
          <w:rFonts w:ascii="Times New Roman" w:hAnsi="Times New Roman" w:cs="Times New Roman"/>
          <w:b/>
          <w:lang w:val="es-ES_tradnl"/>
        </w:rPr>
        <w:t xml:space="preserve"> </w:t>
      </w:r>
      <w:r w:rsidRPr="00DF7DBD">
        <w:rPr>
          <w:rFonts w:ascii="Times New Roman" w:hAnsi="Times New Roman" w:cs="Times New Roman"/>
          <w:lang w:val="es-ES_tradnl"/>
        </w:rPr>
        <w:t>22-</w:t>
      </w:r>
      <w:smartTag w:uri="urn:schemas-microsoft-com:office:smarttags" w:element="metricconverter">
        <w:smartTagPr>
          <w:attr w:name="ProductID" w:val="38 cm"/>
        </w:smartTagPr>
        <w:r w:rsidRPr="00DF7DBD">
          <w:rPr>
            <w:rFonts w:ascii="Times New Roman" w:hAnsi="Times New Roman" w:cs="Times New Roman"/>
            <w:lang w:val="es-ES_tradnl"/>
          </w:rPr>
          <w:t>38 cm</w:t>
        </w:r>
      </w:smartTag>
      <w:r w:rsidRPr="00DF7DBD">
        <w:rPr>
          <w:rFonts w:ascii="Times New Roman" w:hAnsi="Times New Roman" w:cs="Times New Roman"/>
          <w:lang w:val="es-ES_tradnl"/>
        </w:rPr>
        <w:t xml:space="preserve">; gris muy oscuro (10YR 3/1) en húmedo; franco-limoso; estructura en bloques </w:t>
      </w:r>
      <w:proofErr w:type="spellStart"/>
      <w:r w:rsidRPr="00DF7DBD">
        <w:rPr>
          <w:rFonts w:ascii="Times New Roman" w:hAnsi="Times New Roman" w:cs="Times New Roman"/>
          <w:lang w:val="es-ES_tradnl"/>
        </w:rPr>
        <w:t>subangulares</w:t>
      </w:r>
      <w:proofErr w:type="spellEnd"/>
      <w:r w:rsidRPr="00DF7DBD">
        <w:rPr>
          <w:rFonts w:ascii="Times New Roman" w:hAnsi="Times New Roman" w:cs="Times New Roman"/>
          <w:lang w:val="es-ES_tradnl"/>
        </w:rPr>
        <w:t>, medios, débiles; friable en húmedo; barnices "</w:t>
      </w:r>
      <w:proofErr w:type="spellStart"/>
      <w:r w:rsidRPr="00DF7DBD">
        <w:rPr>
          <w:rFonts w:ascii="Times New Roman" w:hAnsi="Times New Roman" w:cs="Times New Roman"/>
          <w:lang w:val="es-ES_tradnl"/>
        </w:rPr>
        <w:t>humic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F7DBD">
        <w:rPr>
          <w:rFonts w:ascii="Times New Roman" w:hAnsi="Times New Roman" w:cs="Times New Roman"/>
          <w:lang w:val="es-ES_tradnl"/>
        </w:rPr>
        <w:t>skins</w:t>
      </w:r>
      <w:proofErr w:type="spellEnd"/>
      <w:r w:rsidRPr="00DF7DBD">
        <w:rPr>
          <w:rFonts w:ascii="Times New Roman" w:hAnsi="Times New Roman" w:cs="Times New Roman"/>
          <w:lang w:val="es-ES_tradnl"/>
        </w:rPr>
        <w:t>" abundantes y "</w:t>
      </w:r>
      <w:proofErr w:type="spellStart"/>
      <w:r w:rsidRPr="00DF7DBD">
        <w:rPr>
          <w:rFonts w:ascii="Times New Roman" w:hAnsi="Times New Roman" w:cs="Times New Roman"/>
          <w:lang w:val="es-ES_tradnl"/>
        </w:rPr>
        <w:t>clay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F7DBD">
        <w:rPr>
          <w:rFonts w:ascii="Times New Roman" w:hAnsi="Times New Roman" w:cs="Times New Roman"/>
          <w:lang w:val="es-ES_tradnl"/>
        </w:rPr>
        <w:t>humic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F7DBD">
        <w:rPr>
          <w:rFonts w:ascii="Times New Roman" w:hAnsi="Times New Roman" w:cs="Times New Roman"/>
          <w:lang w:val="es-ES_tradnl"/>
        </w:rPr>
        <w:t>skins</w:t>
      </w:r>
      <w:proofErr w:type="spellEnd"/>
      <w:r w:rsidRPr="00DF7DBD">
        <w:rPr>
          <w:rFonts w:ascii="Times New Roman" w:hAnsi="Times New Roman" w:cs="Times New Roman"/>
          <w:lang w:val="es-ES_tradnl"/>
        </w:rPr>
        <w:t>" escasos, finos; moteados de hierro y manganeso comunes, finos y precisos; límite claro, suave.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F7DBD">
        <w:rPr>
          <w:rFonts w:ascii="Times New Roman" w:hAnsi="Times New Roman" w:cs="Times New Roman"/>
          <w:b/>
          <w:lang w:val="es-ES_tradnl"/>
        </w:rPr>
        <w:t>A3:</w:t>
      </w:r>
      <w:r>
        <w:rPr>
          <w:rFonts w:ascii="Times New Roman" w:hAnsi="Times New Roman" w:cs="Times New Roman"/>
          <w:b/>
          <w:lang w:val="es-ES_tradnl"/>
        </w:rPr>
        <w:t xml:space="preserve"> </w:t>
      </w:r>
      <w:r w:rsidRPr="00DF7DBD">
        <w:rPr>
          <w:rFonts w:ascii="Times New Roman" w:hAnsi="Times New Roman" w:cs="Times New Roman"/>
          <w:lang w:val="es-ES_tradnl"/>
        </w:rPr>
        <w:t>38-</w:t>
      </w:r>
      <w:smartTag w:uri="urn:schemas-microsoft-com:office:smarttags" w:element="metricconverter">
        <w:smartTagPr>
          <w:attr w:name="ProductID" w:val="60 cm"/>
        </w:smartTagPr>
        <w:r w:rsidRPr="00DF7DBD">
          <w:rPr>
            <w:rFonts w:ascii="Times New Roman" w:hAnsi="Times New Roman" w:cs="Times New Roman"/>
            <w:lang w:val="es-ES_tradnl"/>
          </w:rPr>
          <w:t>60 cm</w:t>
        </w:r>
      </w:smartTag>
      <w:r w:rsidRPr="00DF7DBD">
        <w:rPr>
          <w:rFonts w:ascii="Times New Roman" w:hAnsi="Times New Roman" w:cs="Times New Roman"/>
          <w:lang w:val="es-ES_tradnl"/>
        </w:rPr>
        <w:t xml:space="preserve">; pardo muy  oscuro (10YR 3.5/2) en húmedo; franco-limoso; estructura en bloques </w:t>
      </w:r>
      <w:proofErr w:type="spellStart"/>
      <w:r w:rsidRPr="00DF7DBD">
        <w:rPr>
          <w:rFonts w:ascii="Times New Roman" w:hAnsi="Times New Roman" w:cs="Times New Roman"/>
          <w:lang w:val="es-ES_tradnl"/>
        </w:rPr>
        <w:t>subangulares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y angulares irregulares, medios, débiles; friable en húmedo; barnices "</w:t>
      </w:r>
      <w:proofErr w:type="spellStart"/>
      <w:r w:rsidRPr="00DF7DBD">
        <w:rPr>
          <w:rFonts w:ascii="Times New Roman" w:hAnsi="Times New Roman" w:cs="Times New Roman"/>
          <w:lang w:val="es-ES_tradnl"/>
        </w:rPr>
        <w:t>clay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F7DBD">
        <w:rPr>
          <w:rFonts w:ascii="Times New Roman" w:hAnsi="Times New Roman" w:cs="Times New Roman"/>
          <w:lang w:val="es-ES_tradnl"/>
        </w:rPr>
        <w:t>skins</w:t>
      </w:r>
      <w:proofErr w:type="spellEnd"/>
      <w:r w:rsidRPr="00DF7DBD">
        <w:rPr>
          <w:rFonts w:ascii="Times New Roman" w:hAnsi="Times New Roman" w:cs="Times New Roman"/>
          <w:lang w:val="es-ES_tradnl"/>
        </w:rPr>
        <w:t>", escasos, finos; poroso; límite abrupto, suave.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F7DBD">
        <w:rPr>
          <w:rFonts w:ascii="Times New Roman" w:hAnsi="Times New Roman" w:cs="Times New Roman"/>
          <w:b/>
          <w:lang w:val="es-ES_tradnl"/>
        </w:rPr>
        <w:t>B21t:</w:t>
      </w:r>
      <w:r>
        <w:rPr>
          <w:rFonts w:ascii="Times New Roman" w:hAnsi="Times New Roman" w:cs="Times New Roman"/>
          <w:b/>
          <w:lang w:val="es-ES_tradnl"/>
        </w:rPr>
        <w:t xml:space="preserve"> </w:t>
      </w:r>
      <w:r w:rsidRPr="00DF7DBD">
        <w:rPr>
          <w:rFonts w:ascii="Times New Roman" w:hAnsi="Times New Roman" w:cs="Times New Roman"/>
          <w:lang w:val="es-ES_tradnl"/>
        </w:rPr>
        <w:t>60-</w:t>
      </w:r>
      <w:smartTag w:uri="urn:schemas-microsoft-com:office:smarttags" w:element="metricconverter">
        <w:smartTagPr>
          <w:attr w:name="ProductID" w:val="92 cm"/>
        </w:smartTagPr>
        <w:r w:rsidRPr="00DF7DBD">
          <w:rPr>
            <w:rFonts w:ascii="Times New Roman" w:hAnsi="Times New Roman" w:cs="Times New Roman"/>
            <w:lang w:val="es-ES_tradnl"/>
          </w:rPr>
          <w:t>92 cm</w:t>
        </w:r>
      </w:smartTag>
      <w:r w:rsidRPr="00DF7DBD">
        <w:rPr>
          <w:rFonts w:ascii="Times New Roman" w:hAnsi="Times New Roman" w:cs="Times New Roman"/>
          <w:lang w:val="es-ES_tradnl"/>
        </w:rPr>
        <w:t xml:space="preserve">; pardo grisáceo muy oscuro (10YR 3/2) en húmedo; franco-arcillo-limoso; estructura en prismas compuestos irregulares, gruesos, medios, que rompen en bloques </w:t>
      </w:r>
      <w:proofErr w:type="spellStart"/>
      <w:r w:rsidRPr="00DF7DBD">
        <w:rPr>
          <w:rFonts w:ascii="Times New Roman" w:hAnsi="Times New Roman" w:cs="Times New Roman"/>
          <w:lang w:val="es-ES_tradnl"/>
        </w:rPr>
        <w:t>subangulres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y angulares, irregulares, medios y finos; extremadamente duro en seco; firme en húmedo; barnices "</w:t>
      </w:r>
      <w:proofErr w:type="spellStart"/>
      <w:r w:rsidRPr="00DF7DBD">
        <w:rPr>
          <w:rFonts w:ascii="Times New Roman" w:hAnsi="Times New Roman" w:cs="Times New Roman"/>
          <w:lang w:val="es-ES_tradnl"/>
        </w:rPr>
        <w:t>clay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F7DBD">
        <w:rPr>
          <w:rFonts w:ascii="Times New Roman" w:hAnsi="Times New Roman" w:cs="Times New Roman"/>
          <w:lang w:val="es-ES_tradnl"/>
        </w:rPr>
        <w:t>skins</w:t>
      </w:r>
      <w:proofErr w:type="spellEnd"/>
      <w:r w:rsidRPr="00DF7DBD">
        <w:rPr>
          <w:rFonts w:ascii="Times New Roman" w:hAnsi="Times New Roman" w:cs="Times New Roman"/>
          <w:lang w:val="es-ES_tradnl"/>
        </w:rPr>
        <w:t>", abundantes, medios; caras de fricción ("</w:t>
      </w:r>
      <w:proofErr w:type="spellStart"/>
      <w:r w:rsidRPr="00DF7DBD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DF7DBD">
        <w:rPr>
          <w:rFonts w:ascii="Times New Roman" w:hAnsi="Times New Roman" w:cs="Times New Roman"/>
          <w:lang w:val="es-ES_tradnl"/>
        </w:rPr>
        <w:t>") escasas, finas; moteados de hierro y manganeso abundantes, medios y precisos; raíces finas aplastadas y grietas que alcanzan la base del A3; límite gradual, suave.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F7DBD">
        <w:rPr>
          <w:rFonts w:ascii="Times New Roman" w:hAnsi="Times New Roman" w:cs="Times New Roman"/>
          <w:b/>
          <w:lang w:val="es-ES_tradnl"/>
        </w:rPr>
        <w:t>B22t:</w:t>
      </w:r>
      <w:r>
        <w:rPr>
          <w:rFonts w:ascii="Times New Roman" w:hAnsi="Times New Roman" w:cs="Times New Roman"/>
          <w:b/>
          <w:lang w:val="es-ES_tradnl"/>
        </w:rPr>
        <w:t xml:space="preserve"> </w:t>
      </w:r>
      <w:r w:rsidRPr="00DF7DBD">
        <w:rPr>
          <w:rFonts w:ascii="Times New Roman" w:hAnsi="Times New Roman" w:cs="Times New Roman"/>
          <w:lang w:val="es-ES_tradnl"/>
        </w:rPr>
        <w:t>92-</w:t>
      </w:r>
      <w:smartTag w:uri="urn:schemas-microsoft-com:office:smarttags" w:element="metricconverter">
        <w:smartTagPr>
          <w:attr w:name="ProductID" w:val="130 cm"/>
        </w:smartTagPr>
        <w:r w:rsidRPr="00DF7DBD">
          <w:rPr>
            <w:rFonts w:ascii="Times New Roman" w:hAnsi="Times New Roman" w:cs="Times New Roman"/>
            <w:lang w:val="es-ES_tradnl"/>
          </w:rPr>
          <w:t>130 cm</w:t>
        </w:r>
      </w:smartTag>
      <w:r w:rsidRPr="00DF7DBD">
        <w:rPr>
          <w:rFonts w:ascii="Times New Roman" w:hAnsi="Times New Roman" w:cs="Times New Roman"/>
          <w:lang w:val="es-ES_tradnl"/>
        </w:rPr>
        <w:t>; pardo grisáceo muy oscuro (10YR 2.5/2) en húmedo; franco-arcillo-limoso; estructura en prismas compuestos irregulares, gruesos, medios, que rompen en prismas compuestos irregulares, finos, débiles, y bloques cuneiformes, medios, moderados; extremadamente duro en seco; firme en húmedo; barnices "</w:t>
      </w:r>
      <w:proofErr w:type="spellStart"/>
      <w:r w:rsidRPr="00DF7DBD">
        <w:rPr>
          <w:rFonts w:ascii="Times New Roman" w:hAnsi="Times New Roman" w:cs="Times New Roman"/>
          <w:lang w:val="es-ES_tradnl"/>
        </w:rPr>
        <w:t>clay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F7DBD">
        <w:rPr>
          <w:rFonts w:ascii="Times New Roman" w:hAnsi="Times New Roman" w:cs="Times New Roman"/>
          <w:lang w:val="es-ES_tradnl"/>
        </w:rPr>
        <w:t>humic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F7DBD">
        <w:rPr>
          <w:rFonts w:ascii="Times New Roman" w:hAnsi="Times New Roman" w:cs="Times New Roman"/>
          <w:lang w:val="es-ES_tradnl"/>
        </w:rPr>
        <w:t>skins</w:t>
      </w:r>
      <w:proofErr w:type="spellEnd"/>
      <w:r w:rsidRPr="00DF7DBD">
        <w:rPr>
          <w:rFonts w:ascii="Times New Roman" w:hAnsi="Times New Roman" w:cs="Times New Roman"/>
          <w:lang w:val="es-ES_tradnl"/>
        </w:rPr>
        <w:t>" escasos, medios y "</w:t>
      </w:r>
      <w:proofErr w:type="spellStart"/>
      <w:r w:rsidRPr="00DF7DBD">
        <w:rPr>
          <w:rFonts w:ascii="Times New Roman" w:hAnsi="Times New Roman" w:cs="Times New Roman"/>
          <w:lang w:val="es-ES_tradnl"/>
        </w:rPr>
        <w:t>clay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F7DBD">
        <w:rPr>
          <w:rFonts w:ascii="Times New Roman" w:hAnsi="Times New Roman" w:cs="Times New Roman"/>
          <w:lang w:val="es-ES_tradnl"/>
        </w:rPr>
        <w:t>skins</w:t>
      </w:r>
      <w:proofErr w:type="spellEnd"/>
      <w:r w:rsidRPr="00DF7DBD">
        <w:rPr>
          <w:rFonts w:ascii="Times New Roman" w:hAnsi="Times New Roman" w:cs="Times New Roman"/>
          <w:lang w:val="es-ES_tradnl"/>
        </w:rPr>
        <w:t>", abundantes, medios; caras de fricción ("</w:t>
      </w:r>
      <w:proofErr w:type="spellStart"/>
      <w:r w:rsidRPr="00DF7DBD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") escasas a medias, finas e intersectadas; concreciones de hierro-manganeso escasas y finas de hasta </w:t>
      </w:r>
      <w:smartTag w:uri="urn:schemas-microsoft-com:office:smarttags" w:element="metricconverter">
        <w:smartTagPr>
          <w:attr w:name="ProductID" w:val="0.1 cm"/>
        </w:smartTagPr>
        <w:r w:rsidRPr="00DF7DBD">
          <w:rPr>
            <w:rFonts w:ascii="Times New Roman" w:hAnsi="Times New Roman" w:cs="Times New Roman"/>
            <w:lang w:val="es-ES_tradnl"/>
          </w:rPr>
          <w:t>0.1 cm</w:t>
        </w:r>
      </w:smartTag>
      <w:r w:rsidRPr="00DF7DBD">
        <w:rPr>
          <w:rFonts w:ascii="Times New Roman" w:hAnsi="Times New Roman" w:cs="Times New Roman"/>
          <w:lang w:val="es-ES_tradnl"/>
        </w:rPr>
        <w:t>; moteados de hierro y manganeso comunes, finos y precisos; límite claro, suave.</w:t>
      </w:r>
    </w:p>
    <w:p w:rsid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F7DBD">
        <w:rPr>
          <w:rFonts w:ascii="Times New Roman" w:hAnsi="Times New Roman" w:cs="Times New Roman"/>
          <w:b/>
          <w:lang w:val="es-ES_tradnl"/>
        </w:rPr>
        <w:lastRenderedPageBreak/>
        <w:t>B3:</w:t>
      </w:r>
      <w:r>
        <w:rPr>
          <w:rFonts w:ascii="Times New Roman" w:hAnsi="Times New Roman" w:cs="Times New Roman"/>
          <w:b/>
          <w:lang w:val="es-ES_tradnl"/>
        </w:rPr>
        <w:t xml:space="preserve"> </w:t>
      </w:r>
      <w:r w:rsidRPr="00DF7DBD">
        <w:rPr>
          <w:rFonts w:ascii="Times New Roman" w:hAnsi="Times New Roman" w:cs="Times New Roman"/>
          <w:lang w:val="es-ES_tradnl"/>
        </w:rPr>
        <w:t>130+ cm; pardo (10YR 4/3) en húmedo; franco-arcillo-limoso; estructura en prismas compuestos irregulares, medios, débiles, que rompen en prismas compuestos irregulares, finos, débiles; duro en seco; friable en húmedo; barnices "</w:t>
      </w:r>
      <w:proofErr w:type="spellStart"/>
      <w:r w:rsidRPr="00DF7DBD">
        <w:rPr>
          <w:rFonts w:ascii="Times New Roman" w:hAnsi="Times New Roman" w:cs="Times New Roman"/>
          <w:lang w:val="es-ES_tradnl"/>
        </w:rPr>
        <w:t>clay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F7DBD">
        <w:rPr>
          <w:rFonts w:ascii="Times New Roman" w:hAnsi="Times New Roman" w:cs="Times New Roman"/>
          <w:lang w:val="es-ES_tradnl"/>
        </w:rPr>
        <w:t>skins</w:t>
      </w:r>
      <w:proofErr w:type="spellEnd"/>
      <w:r w:rsidRPr="00DF7DBD">
        <w:rPr>
          <w:rFonts w:ascii="Times New Roman" w:hAnsi="Times New Roman" w:cs="Times New Roman"/>
          <w:lang w:val="es-ES_tradnl"/>
        </w:rPr>
        <w:t>", escasos y finos; caras de fricción ("</w:t>
      </w:r>
      <w:proofErr w:type="spellStart"/>
      <w:r w:rsidRPr="00DF7DBD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DF7DBD">
        <w:rPr>
          <w:rFonts w:ascii="Times New Roman" w:hAnsi="Times New Roman" w:cs="Times New Roman"/>
          <w:lang w:val="es-ES_tradnl"/>
        </w:rPr>
        <w:t>") escasas y finas, no intersectadas; concreciones de hierro</w:t>
      </w:r>
      <w:r w:rsidRPr="00DF7DBD">
        <w:rPr>
          <w:rFonts w:ascii="Times New Roman" w:hAnsi="Times New Roman" w:cs="Times New Roman"/>
          <w:lang w:val="es-ES_tradnl"/>
        </w:rPr>
        <w:noBreakHyphen/>
        <w:t>manganeso escasas, finas; moteados de hierro y manganeso escasos, finos y débiles; evidencias de abundante actividad biológica.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b/>
          <w:lang w:val="es-ES_tradnl"/>
        </w:rPr>
      </w:pPr>
      <w:r w:rsidRPr="00DF7DBD">
        <w:rPr>
          <w:rFonts w:ascii="Times New Roman" w:hAnsi="Times New Roman" w:cs="Times New Roman"/>
          <w:b/>
          <w:u w:val="single"/>
          <w:lang w:val="es-ES_tradnl"/>
        </w:rPr>
        <w:t>Variabilidad de rasgos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F7DBD">
        <w:rPr>
          <w:rFonts w:ascii="Times New Roman" w:hAnsi="Times New Roman" w:cs="Times New Roman"/>
          <w:lang w:val="es-ES_tradnl"/>
        </w:rPr>
        <w:t xml:space="preserve">El </w:t>
      </w:r>
      <w:proofErr w:type="spellStart"/>
      <w:r w:rsidRPr="00DF7DBD">
        <w:rPr>
          <w:rFonts w:ascii="Times New Roman" w:hAnsi="Times New Roman" w:cs="Times New Roman"/>
          <w:lang w:val="es-ES_tradnl"/>
        </w:rPr>
        <w:t>solum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posee siempre más de </w:t>
      </w:r>
      <w:smartTag w:uri="urn:schemas-microsoft-com:office:smarttags" w:element="metricconverter">
        <w:smartTagPr>
          <w:attr w:name="ProductID" w:val="140 cm"/>
        </w:smartTagPr>
        <w:r w:rsidRPr="00DF7DBD">
          <w:rPr>
            <w:rFonts w:ascii="Times New Roman" w:hAnsi="Times New Roman" w:cs="Times New Roman"/>
            <w:lang w:val="es-ES_tradnl"/>
          </w:rPr>
          <w:t>140 cm</w:t>
        </w:r>
      </w:smartTag>
      <w:r w:rsidRPr="00DF7DBD">
        <w:rPr>
          <w:rFonts w:ascii="Times New Roman" w:hAnsi="Times New Roman" w:cs="Times New Roman"/>
          <w:lang w:val="es-ES_tradnl"/>
        </w:rPr>
        <w:t xml:space="preserve"> y su variabilidad no se conoce. El </w:t>
      </w:r>
      <w:proofErr w:type="spellStart"/>
      <w:r w:rsidRPr="00DF7DBD">
        <w:rPr>
          <w:rFonts w:ascii="Times New Roman" w:hAnsi="Times New Roman" w:cs="Times New Roman"/>
          <w:lang w:val="es-ES_tradnl"/>
        </w:rPr>
        <w:t>epipedón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F7DBD">
        <w:rPr>
          <w:rFonts w:ascii="Times New Roman" w:hAnsi="Times New Roman" w:cs="Times New Roman"/>
          <w:lang w:val="es-ES_tradnl"/>
        </w:rPr>
        <w:t>mólico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varía de 50-</w:t>
      </w:r>
      <w:smartTag w:uri="urn:schemas-microsoft-com:office:smarttags" w:element="metricconverter">
        <w:smartTagPr>
          <w:attr w:name="ProductID" w:val="80 cm"/>
        </w:smartTagPr>
        <w:r w:rsidRPr="00DF7DBD">
          <w:rPr>
            <w:rFonts w:ascii="Times New Roman" w:hAnsi="Times New Roman" w:cs="Times New Roman"/>
            <w:lang w:val="es-ES_tradnl"/>
          </w:rPr>
          <w:t>80 cm</w:t>
        </w:r>
      </w:smartTag>
      <w:r w:rsidRPr="00DF7DBD">
        <w:rPr>
          <w:rFonts w:ascii="Times New Roman" w:hAnsi="Times New Roman" w:cs="Times New Roman"/>
          <w:lang w:val="es-ES_tradnl"/>
        </w:rPr>
        <w:t xml:space="preserve"> y está engrosado por material de textura diferente a la del original (franco-limosa a franco-arcillo-limosa, con 20-28 % de arcilla), como resultado de la acumulación lenta de material arrastrado desde las partes más altas del paisaje por el agua de escorrentía. El </w:t>
      </w:r>
      <w:proofErr w:type="spellStart"/>
      <w:r w:rsidRPr="00DF7DBD">
        <w:rPr>
          <w:rFonts w:ascii="Times New Roman" w:hAnsi="Times New Roman" w:cs="Times New Roman"/>
          <w:lang w:val="es-ES_tradnl"/>
        </w:rPr>
        <w:t>epipedón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muestra normalmente algunos síntomas de lixiviación, con una incipiente degradación de la estructura. En algunos casos, es posible encontrar una capa de 5-</w:t>
      </w:r>
      <w:smartTag w:uri="urn:schemas-microsoft-com:office:smarttags" w:element="metricconverter">
        <w:smartTagPr>
          <w:attr w:name="ProductID" w:val="8 cm"/>
        </w:smartTagPr>
        <w:r w:rsidRPr="00DF7DBD">
          <w:rPr>
            <w:rFonts w:ascii="Times New Roman" w:hAnsi="Times New Roman" w:cs="Times New Roman"/>
            <w:lang w:val="es-ES_tradnl"/>
          </w:rPr>
          <w:t>8 cm</w:t>
        </w:r>
      </w:smartTag>
      <w:r w:rsidRPr="00DF7DBD">
        <w:rPr>
          <w:rFonts w:ascii="Times New Roman" w:hAnsi="Times New Roman" w:cs="Times New Roman"/>
          <w:lang w:val="es-ES_tradnl"/>
        </w:rPr>
        <w:t xml:space="preserve"> en superficie constituida por material de arrastre ("enlame") estratificado, de textura limosa (limo suelto). 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F7DBD">
        <w:rPr>
          <w:rFonts w:ascii="Times New Roman" w:hAnsi="Times New Roman" w:cs="Times New Roman"/>
          <w:lang w:val="es-ES_tradnl"/>
        </w:rPr>
        <w:t xml:space="preserve">El horizonte </w:t>
      </w:r>
      <w:proofErr w:type="spellStart"/>
      <w:r w:rsidRPr="00DF7DBD">
        <w:rPr>
          <w:rFonts w:ascii="Times New Roman" w:hAnsi="Times New Roman" w:cs="Times New Roman"/>
          <w:lang w:val="es-ES_tradnl"/>
        </w:rPr>
        <w:t>argílico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posee siempre más de </w:t>
      </w:r>
      <w:smartTag w:uri="urn:schemas-microsoft-com:office:smarttags" w:element="metricconverter">
        <w:smartTagPr>
          <w:attr w:name="ProductID" w:val="60 cm"/>
        </w:smartTagPr>
        <w:r w:rsidRPr="00DF7DBD">
          <w:rPr>
            <w:rFonts w:ascii="Times New Roman" w:hAnsi="Times New Roman" w:cs="Times New Roman"/>
            <w:lang w:val="es-ES_tradnl"/>
          </w:rPr>
          <w:t>60 cm</w:t>
        </w:r>
      </w:smartTag>
      <w:r w:rsidRPr="00DF7DBD">
        <w:rPr>
          <w:rFonts w:ascii="Times New Roman" w:hAnsi="Times New Roman" w:cs="Times New Roman"/>
          <w:lang w:val="es-ES_tradnl"/>
        </w:rPr>
        <w:t xml:space="preserve"> y entre 30-35 % de arcilla, teniendo mejor expresadas sus características </w:t>
      </w:r>
      <w:proofErr w:type="spellStart"/>
      <w:r w:rsidRPr="00DF7DBD">
        <w:rPr>
          <w:rFonts w:ascii="Times New Roman" w:hAnsi="Times New Roman" w:cs="Times New Roman"/>
          <w:lang w:val="es-ES_tradnl"/>
        </w:rPr>
        <w:t>iluviales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en su parte inferior (B22t). Presenta algunas concreciones de hierro-manganeso a partir del B21t, que se vuelven más abundantes en profundidad. Las caras de fricción ("</w:t>
      </w:r>
      <w:proofErr w:type="spellStart"/>
      <w:r w:rsidRPr="00DF7DBD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DF7DBD">
        <w:rPr>
          <w:rFonts w:ascii="Times New Roman" w:hAnsi="Times New Roman" w:cs="Times New Roman"/>
          <w:lang w:val="es-ES_tradnl"/>
        </w:rPr>
        <w:t>"), escasas y no intersectadas, aparecen entre los 75-</w:t>
      </w:r>
      <w:smartTag w:uri="urn:schemas-microsoft-com:office:smarttags" w:element="metricconverter">
        <w:smartTagPr>
          <w:attr w:name="ProductID" w:val="85 cm"/>
        </w:smartTagPr>
        <w:r w:rsidRPr="00DF7DBD">
          <w:rPr>
            <w:rFonts w:ascii="Times New Roman" w:hAnsi="Times New Roman" w:cs="Times New Roman"/>
            <w:lang w:val="es-ES_tradnl"/>
          </w:rPr>
          <w:t>85 cm</w:t>
        </w:r>
      </w:smartTag>
      <w:r w:rsidRPr="00DF7DBD">
        <w:rPr>
          <w:rFonts w:ascii="Times New Roman" w:hAnsi="Times New Roman" w:cs="Times New Roman"/>
          <w:lang w:val="es-ES_tradnl"/>
        </w:rPr>
        <w:t>.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F7DBD">
        <w:rPr>
          <w:rFonts w:ascii="Times New Roman" w:hAnsi="Times New Roman" w:cs="Times New Roman"/>
          <w:lang w:val="es-ES_tradnl"/>
        </w:rPr>
        <w:t xml:space="preserve">Normalmente el perfil se mantiene húmedo entre el </w:t>
      </w:r>
      <w:proofErr w:type="spellStart"/>
      <w:r w:rsidRPr="00DF7DBD">
        <w:rPr>
          <w:rFonts w:ascii="Times New Roman" w:hAnsi="Times New Roman" w:cs="Times New Roman"/>
          <w:lang w:val="es-ES_tradnl"/>
        </w:rPr>
        <w:t>epipedón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y el horizonte </w:t>
      </w:r>
      <w:proofErr w:type="spellStart"/>
      <w:r w:rsidRPr="00DF7DBD">
        <w:rPr>
          <w:rFonts w:ascii="Times New Roman" w:hAnsi="Times New Roman" w:cs="Times New Roman"/>
          <w:lang w:val="es-ES_tradnl"/>
        </w:rPr>
        <w:t>argílico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(</w:t>
      </w:r>
      <w:proofErr w:type="spellStart"/>
      <w:r w:rsidRPr="00DF7DBD">
        <w:rPr>
          <w:rFonts w:ascii="Times New Roman" w:hAnsi="Times New Roman" w:cs="Times New Roman"/>
          <w:lang w:val="es-ES_tradnl"/>
        </w:rPr>
        <w:t>subhorizonte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B21t) y es frecuente encontrar, luego de un período lluvioso, una napa temporaria o "colgada" como resultado del flujo </w:t>
      </w:r>
      <w:proofErr w:type="spellStart"/>
      <w:r w:rsidRPr="00DF7DBD">
        <w:rPr>
          <w:rFonts w:ascii="Times New Roman" w:hAnsi="Times New Roman" w:cs="Times New Roman"/>
          <w:lang w:val="es-ES_tradnl"/>
        </w:rPr>
        <w:t>subsuperficial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lento o "hipodérmico" a lo largo de las pendientes muy suaves. Son comunes los moteados en todo el </w:t>
      </w:r>
      <w:proofErr w:type="spellStart"/>
      <w:r w:rsidRPr="00DF7DBD">
        <w:rPr>
          <w:rFonts w:ascii="Times New Roman" w:hAnsi="Times New Roman" w:cs="Times New Roman"/>
          <w:lang w:val="es-ES_tradnl"/>
        </w:rPr>
        <w:t>solum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, a veces no claramente visibles por el estado de humedad y los colores muy oscuros. Es común la presencia de gley o </w:t>
      </w:r>
      <w:proofErr w:type="spellStart"/>
      <w:r w:rsidRPr="00DF7DBD">
        <w:rPr>
          <w:rFonts w:ascii="Times New Roman" w:hAnsi="Times New Roman" w:cs="Times New Roman"/>
          <w:lang w:val="es-ES_tradnl"/>
        </w:rPr>
        <w:t>pseudo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-gley (condiciones de reducción temporarias o estacionales). Las concreciones de calcáreo aparecen siempre a más de </w:t>
      </w:r>
      <w:smartTag w:uri="urn:schemas-microsoft-com:office:smarttags" w:element="metricconverter">
        <w:smartTagPr>
          <w:attr w:name="ProductID" w:val="130 cm"/>
        </w:smartTagPr>
        <w:r w:rsidRPr="00DF7DBD">
          <w:rPr>
            <w:rFonts w:ascii="Times New Roman" w:hAnsi="Times New Roman" w:cs="Times New Roman"/>
            <w:lang w:val="es-ES_tradnl"/>
          </w:rPr>
          <w:t>130 cm</w:t>
        </w:r>
      </w:smartTag>
      <w:r w:rsidRPr="00DF7DBD">
        <w:rPr>
          <w:rFonts w:ascii="Times New Roman" w:hAnsi="Times New Roman" w:cs="Times New Roman"/>
          <w:lang w:val="es-ES_tradnl"/>
        </w:rPr>
        <w:t>.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b/>
          <w:lang w:val="es-ES_tradnl"/>
        </w:rPr>
      </w:pPr>
      <w:r w:rsidRPr="00DF7DBD">
        <w:rPr>
          <w:rFonts w:ascii="Times New Roman" w:hAnsi="Times New Roman" w:cs="Times New Roman"/>
          <w:b/>
          <w:u w:val="single"/>
          <w:lang w:val="es-ES_tradnl"/>
        </w:rPr>
        <w:t>Fases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196398" w:rsidP="00DF7DB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posee fases a la escala de reconocimiento (1:100.000).</w:t>
      </w:r>
      <w:bookmarkStart w:id="0" w:name="_GoBack"/>
      <w:bookmarkEnd w:id="0"/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b/>
          <w:lang w:val="es-ES_tradnl"/>
        </w:rPr>
      </w:pPr>
      <w:r w:rsidRPr="00DF7DBD">
        <w:rPr>
          <w:rFonts w:ascii="Times New Roman" w:hAnsi="Times New Roman" w:cs="Times New Roman"/>
          <w:b/>
          <w:u w:val="single"/>
          <w:lang w:val="es-ES_tradnl"/>
        </w:rPr>
        <w:t>Series similares y sus diferencias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F7DBD">
        <w:rPr>
          <w:rFonts w:ascii="Times New Roman" w:hAnsi="Times New Roman" w:cs="Times New Roman"/>
          <w:lang w:val="es-ES_tradnl"/>
        </w:rPr>
        <w:t xml:space="preserve">Se parece a la Serie La Jaula (con una posición en el paisaje distinta, un </w:t>
      </w:r>
      <w:proofErr w:type="spellStart"/>
      <w:r w:rsidRPr="00DF7DBD">
        <w:rPr>
          <w:rFonts w:ascii="Times New Roman" w:hAnsi="Times New Roman" w:cs="Times New Roman"/>
          <w:lang w:val="es-ES_tradnl"/>
        </w:rPr>
        <w:t>epipedón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mucho más corto y más arcilloso, con calcáreo más alto en el perfil) y a los suelos de la fase engrosada de la Serie Costa Grande (símbolo: </w:t>
      </w:r>
      <w:proofErr w:type="spellStart"/>
      <w:r w:rsidRPr="00DF7DBD">
        <w:rPr>
          <w:rFonts w:ascii="Times New Roman" w:hAnsi="Times New Roman" w:cs="Times New Roman"/>
          <w:lang w:val="es-ES_tradnl"/>
        </w:rPr>
        <w:t>CG.x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) pero estos se ubican en las depresiones interiores del manto de loess espeso, tienen un </w:t>
      </w:r>
      <w:proofErr w:type="spellStart"/>
      <w:r w:rsidRPr="00DF7DBD">
        <w:rPr>
          <w:rFonts w:ascii="Times New Roman" w:hAnsi="Times New Roman" w:cs="Times New Roman"/>
          <w:lang w:val="es-ES_tradnl"/>
        </w:rPr>
        <w:t>epipedón</w:t>
      </w:r>
      <w:proofErr w:type="spellEnd"/>
      <w:r w:rsidRPr="00DF7DBD">
        <w:rPr>
          <w:rFonts w:ascii="Times New Roman" w:hAnsi="Times New Roman" w:cs="Times New Roman"/>
          <w:lang w:val="es-ES_tradnl"/>
        </w:rPr>
        <w:t xml:space="preserve"> menos engrosado y no son tan hidromórficos.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b/>
          <w:lang w:val="es-ES_tradnl"/>
        </w:rPr>
      </w:pPr>
      <w:r w:rsidRPr="00DF7DBD">
        <w:rPr>
          <w:rFonts w:ascii="Times New Roman" w:hAnsi="Times New Roman" w:cs="Times New Roman"/>
          <w:b/>
          <w:u w:val="single"/>
          <w:lang w:val="es-ES_tradnl"/>
        </w:rPr>
        <w:t>Drenaje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F7DBD">
        <w:rPr>
          <w:rFonts w:ascii="Times New Roman" w:hAnsi="Times New Roman" w:cs="Times New Roman"/>
          <w:lang w:val="es-ES_tradnl"/>
        </w:rPr>
        <w:t>Moderada a imperfectamente drenado; escurrimiento superficial lento a muy lento. Permeabilidad moderadamente lenta. Napa freática temporaria o "</w:t>
      </w:r>
      <w:proofErr w:type="spellStart"/>
      <w:r w:rsidRPr="00DF7DBD">
        <w:rPr>
          <w:rFonts w:ascii="Times New Roman" w:hAnsi="Times New Roman" w:cs="Times New Roman"/>
          <w:lang w:val="es-ES_tradnl"/>
        </w:rPr>
        <w:t>perchèe</w:t>
      </w:r>
      <w:proofErr w:type="spellEnd"/>
      <w:r w:rsidRPr="00DF7DBD">
        <w:rPr>
          <w:rFonts w:ascii="Times New Roman" w:hAnsi="Times New Roman" w:cs="Times New Roman"/>
          <w:lang w:val="es-ES_tradnl"/>
        </w:rPr>
        <w:t>" (50-</w:t>
      </w:r>
      <w:smartTag w:uri="urn:schemas-microsoft-com:office:smarttags" w:element="metricconverter">
        <w:smartTagPr>
          <w:attr w:name="ProductID" w:val="150 cm"/>
        </w:smartTagPr>
        <w:r w:rsidRPr="00DF7DBD">
          <w:rPr>
            <w:rFonts w:ascii="Times New Roman" w:hAnsi="Times New Roman" w:cs="Times New Roman"/>
            <w:lang w:val="es-ES_tradnl"/>
          </w:rPr>
          <w:t>150 cm</w:t>
        </w:r>
      </w:smartTag>
      <w:r w:rsidRPr="00DF7DBD">
        <w:rPr>
          <w:rFonts w:ascii="Times New Roman" w:hAnsi="Times New Roman" w:cs="Times New Roman"/>
          <w:lang w:val="es-ES_tradnl"/>
        </w:rPr>
        <w:t>). Grupo hidrológico C.</w:t>
      </w:r>
    </w:p>
    <w:p w:rsid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s-ES_tradnl"/>
        </w:rPr>
      </w:pPr>
    </w:p>
    <w:p w:rsid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b/>
          <w:lang w:val="es-ES_tradnl"/>
        </w:rPr>
      </w:pPr>
      <w:r w:rsidRPr="00DF7DBD">
        <w:rPr>
          <w:rFonts w:ascii="Times New Roman" w:hAnsi="Times New Roman" w:cs="Times New Roman"/>
          <w:b/>
          <w:u w:val="single"/>
          <w:lang w:val="es-ES_tradnl"/>
        </w:rPr>
        <w:lastRenderedPageBreak/>
        <w:t>Erosión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F7DBD">
        <w:rPr>
          <w:rFonts w:ascii="Times New Roman" w:hAnsi="Times New Roman" w:cs="Times New Roman"/>
          <w:lang w:val="es-ES_tradnl"/>
        </w:rPr>
        <w:t>La Serie Cañada Grande no tiene erosión actual ni peligro a la misma, pero sí tiene un moderado peligro de deposición por aporte actual de materiales de arrastre de las pendientes más altas.</w:t>
      </w:r>
    </w:p>
    <w:p w:rsidR="00DF7DBD" w:rsidRPr="00DF7DBD" w:rsidRDefault="00DF7DBD" w:rsidP="00DF7DBD">
      <w:pPr>
        <w:spacing w:after="0" w:line="240" w:lineRule="auto"/>
        <w:rPr>
          <w:rFonts w:ascii="Times New Roman" w:hAnsi="Times New Roman" w:cs="Times New Roman"/>
          <w:lang w:val="es-ES_tradnl"/>
        </w:rPr>
      </w:pPr>
      <w:r w:rsidRPr="00DF7DBD">
        <w:rPr>
          <w:rFonts w:ascii="Times New Roman" w:hAnsi="Times New Roman" w:cs="Times New Roman"/>
          <w:lang w:val="es-ES_tradnl"/>
        </w:rPr>
        <w:br w:type="page"/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DF7DBD" w:rsidRPr="00DF7DBD" w:rsidRDefault="00DF7DBD" w:rsidP="00DF7DBD">
      <w:pPr>
        <w:spacing w:after="0" w:line="240" w:lineRule="auto"/>
        <w:rPr>
          <w:rFonts w:ascii="Times New Roman" w:eastAsia="Times New Roman" w:hAnsi="Times New Roman" w:cs="Times New Roman"/>
          <w:b/>
          <w:lang w:val="es-ES_tradnl" w:eastAsia="es-ES"/>
        </w:rPr>
      </w:pPr>
      <w:r w:rsidRPr="00DF7DBD">
        <w:rPr>
          <w:rFonts w:ascii="Times New Roman" w:eastAsia="Times New Roman" w:hAnsi="Times New Roman" w:cs="Times New Roman"/>
          <w:b/>
          <w:u w:val="single"/>
          <w:lang w:val="es-ES_tradnl" w:eastAsia="es-ES"/>
        </w:rPr>
        <w:t>DATOS ANALITICOS DEL PERFIL TIPO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s-ES_tradnl" w:eastAsia="es-ES"/>
        </w:rPr>
      </w:pP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  <w:lang w:val="es-ES_tradnl" w:eastAsia="es-ES"/>
        </w:rPr>
      </w:pPr>
      <w:r w:rsidRPr="00DF7DBD">
        <w:rPr>
          <w:rFonts w:ascii="Times New Roman" w:eastAsia="Times New Roman" w:hAnsi="Times New Roman" w:cs="Times New Roman"/>
          <w:b/>
          <w:u w:val="single"/>
          <w:lang w:val="es-ES_tradnl" w:eastAsia="es-ES"/>
        </w:rPr>
        <w:t>Serie Cañada Grande</w:t>
      </w:r>
    </w:p>
    <w:p w:rsidR="00DF7DBD" w:rsidRPr="00DF7DBD" w:rsidRDefault="00DF7DBD" w:rsidP="00DF7D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  <w:lang w:val="es-ES_tradnl" w:eastAsia="es-ES"/>
        </w:rPr>
      </w:pPr>
    </w:p>
    <w:tbl>
      <w:tblPr>
        <w:tblW w:w="86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7"/>
        <w:gridCol w:w="1268"/>
        <w:gridCol w:w="964"/>
        <w:gridCol w:w="964"/>
        <w:gridCol w:w="964"/>
        <w:gridCol w:w="964"/>
        <w:gridCol w:w="964"/>
        <w:gridCol w:w="964"/>
      </w:tblGrid>
      <w:tr w:rsidR="00DF7DBD" w:rsidRPr="00DF7DBD" w:rsidTr="006D18FD"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ER7-69C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DF7DBD" w:rsidRPr="00DF7DBD" w:rsidTr="006D18FD"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Nº de registro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5134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5135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5136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5137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5138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5139</w:t>
            </w:r>
          </w:p>
        </w:tc>
      </w:tr>
      <w:tr w:rsidR="00DF7DBD" w:rsidRPr="00DF7DBD" w:rsidTr="006D18FD"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Horizonte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proofErr w:type="spellStart"/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Ap</w:t>
            </w:r>
            <w:proofErr w:type="spellEnd"/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/A11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A12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n-US" w:eastAsia="es-ES"/>
              </w:rPr>
              <w:t>A3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n-US" w:eastAsia="es-ES"/>
              </w:rPr>
              <w:t>B21t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n-US" w:eastAsia="es-ES"/>
              </w:rPr>
              <w:t>B22t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n-US" w:eastAsia="es-ES"/>
              </w:rPr>
              <w:t>B3</w:t>
            </w:r>
          </w:p>
        </w:tc>
      </w:tr>
      <w:tr w:rsidR="00DF7DBD" w:rsidRPr="00DF7DBD" w:rsidTr="006D18FD"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Profundidad (cm)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00-22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22-38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38-60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60-92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92-130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+ 130</w:t>
            </w:r>
          </w:p>
        </w:tc>
      </w:tr>
      <w:tr w:rsidR="00DF7DBD" w:rsidRPr="00DF7DBD" w:rsidTr="006D18FD"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Mat.orgánica</w:t>
            </w:r>
            <w:proofErr w:type="spellEnd"/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(%)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2.89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2.69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2.38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1.40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0.95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0.58</w:t>
            </w:r>
          </w:p>
        </w:tc>
      </w:tr>
      <w:tr w:rsidR="00DF7DBD" w:rsidRPr="00DF7DBD" w:rsidTr="006D18FD"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N (%)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0.13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0.12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0.10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0.06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N.D.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0.03</w:t>
            </w:r>
          </w:p>
        </w:tc>
      </w:tr>
      <w:tr w:rsidR="00DF7DBD" w:rsidRPr="00DF7DBD" w:rsidTr="006D18FD">
        <w:tc>
          <w:tcPr>
            <w:tcW w:w="2905" w:type="dxa"/>
            <w:gridSpan w:val="2"/>
            <w:tcBorders>
              <w:bottom w:val="single" w:sz="6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C/N 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13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13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13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13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N.D.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10</w:t>
            </w:r>
          </w:p>
        </w:tc>
      </w:tr>
      <w:tr w:rsidR="00DF7DBD" w:rsidRPr="00DF7DBD" w:rsidTr="006D18FD">
        <w:tc>
          <w:tcPr>
            <w:tcW w:w="1637" w:type="dxa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T                              </w:t>
            </w:r>
          </w:p>
        </w:tc>
        <w:tc>
          <w:tcPr>
            <w:tcW w:w="1268" w:type="dxa"/>
          </w:tcPr>
          <w:p w:rsidR="00DF7DBD" w:rsidRPr="00DF7DBD" w:rsidRDefault="00DF7DBD" w:rsidP="00DF7D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&lt;2 </w:t>
            </w: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µ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22.72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26.64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27.25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33.29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34.17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31.04</w:t>
            </w:r>
          </w:p>
        </w:tc>
      </w:tr>
      <w:tr w:rsidR="00DF7DBD" w:rsidRPr="00DF7DBD" w:rsidTr="006D18FD">
        <w:tc>
          <w:tcPr>
            <w:tcW w:w="1637" w:type="dxa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                           </w:t>
            </w:r>
          </w:p>
        </w:tc>
        <w:tc>
          <w:tcPr>
            <w:tcW w:w="1268" w:type="dxa"/>
          </w:tcPr>
          <w:p w:rsidR="00DF7DBD" w:rsidRPr="00DF7DBD" w:rsidRDefault="00DF7DBD" w:rsidP="00DF7D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2-20 µ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32.41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30.02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28.39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25.04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23.41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26.25</w:t>
            </w:r>
          </w:p>
        </w:tc>
      </w:tr>
      <w:tr w:rsidR="00DF7DBD" w:rsidRPr="00DF7DBD" w:rsidTr="006D18FD">
        <w:tc>
          <w:tcPr>
            <w:tcW w:w="1637" w:type="dxa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X                           </w:t>
            </w:r>
          </w:p>
        </w:tc>
        <w:tc>
          <w:tcPr>
            <w:tcW w:w="1268" w:type="dxa"/>
          </w:tcPr>
          <w:p w:rsidR="00DF7DBD" w:rsidRPr="00DF7DBD" w:rsidRDefault="00DF7DBD" w:rsidP="00DF7D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2-50 µ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70.52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65.30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61.89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55.46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56.11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56.22</w:t>
            </w:r>
          </w:p>
        </w:tc>
      </w:tr>
      <w:tr w:rsidR="00DF7DBD" w:rsidRPr="00DF7DBD" w:rsidTr="006D18FD">
        <w:tc>
          <w:tcPr>
            <w:tcW w:w="1637" w:type="dxa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T                       </w:t>
            </w:r>
          </w:p>
        </w:tc>
        <w:tc>
          <w:tcPr>
            <w:tcW w:w="1268" w:type="dxa"/>
          </w:tcPr>
          <w:p w:rsidR="00DF7DBD" w:rsidRPr="00DF7DBD" w:rsidRDefault="00DF7DBD" w:rsidP="00DF7D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50-100 µ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6.42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10.24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9.87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10.12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8.69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11.74</w:t>
            </w:r>
          </w:p>
        </w:tc>
      </w:tr>
      <w:tr w:rsidR="00DF7DBD" w:rsidRPr="00DF7DBD" w:rsidTr="006D18FD">
        <w:tc>
          <w:tcPr>
            <w:tcW w:w="1637" w:type="dxa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U                     </w:t>
            </w:r>
          </w:p>
        </w:tc>
        <w:tc>
          <w:tcPr>
            <w:tcW w:w="1268" w:type="dxa"/>
          </w:tcPr>
          <w:p w:rsidR="00DF7DBD" w:rsidRPr="00DF7DBD" w:rsidRDefault="00DF7DBD" w:rsidP="00DF7D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100-500 µ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0.33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0.71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0.94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0.92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1.02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0.98</w:t>
            </w:r>
          </w:p>
        </w:tc>
      </w:tr>
      <w:tr w:rsidR="00DF7DBD" w:rsidRPr="00DF7DBD" w:rsidTr="00DF7DBD">
        <w:tc>
          <w:tcPr>
            <w:tcW w:w="1637" w:type="dxa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R                      </w:t>
            </w:r>
          </w:p>
        </w:tc>
        <w:tc>
          <w:tcPr>
            <w:tcW w:w="1268" w:type="dxa"/>
          </w:tcPr>
          <w:p w:rsidR="00DF7DBD" w:rsidRPr="00DF7DBD" w:rsidRDefault="00DF7DBD" w:rsidP="00DF7D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500-1000 µ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0.01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0.11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0.05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0.21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0.01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0.02</w:t>
            </w:r>
          </w:p>
        </w:tc>
      </w:tr>
      <w:tr w:rsidR="00DF7DBD" w:rsidRPr="00DF7DBD" w:rsidTr="00DF7DBD">
        <w:trPr>
          <w:trHeight w:val="280"/>
        </w:trPr>
        <w:tc>
          <w:tcPr>
            <w:tcW w:w="1637" w:type="dxa"/>
            <w:tcBorders>
              <w:bottom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                    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DF7DBD" w:rsidRPr="00DF7DBD" w:rsidTr="00DF7DBD">
        <w:trPr>
          <w:trHeight w:val="220"/>
        </w:trPr>
        <w:tc>
          <w:tcPr>
            <w:tcW w:w="2905" w:type="dxa"/>
            <w:gridSpan w:val="2"/>
            <w:tcBorders>
              <w:top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DF7DBD" w:rsidRPr="00DF7DBD" w:rsidTr="006D18FD">
        <w:trPr>
          <w:trHeight w:val="320"/>
        </w:trPr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CO3Ca (%)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-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-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-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-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-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-</w:t>
            </w:r>
          </w:p>
        </w:tc>
      </w:tr>
      <w:tr w:rsidR="00DF7DBD" w:rsidRPr="00DF7DBD" w:rsidTr="006D18FD"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pH H</w:t>
            </w:r>
            <w:r w:rsidRPr="00DF7DBD">
              <w:rPr>
                <w:rFonts w:ascii="Times New Roman" w:eastAsia="Times New Roman" w:hAnsi="Times New Roman" w:cs="Times New Roman"/>
                <w:vertAlign w:val="subscript"/>
                <w:lang w:val="es-ES_tradnl" w:eastAsia="es-ES"/>
              </w:rPr>
              <w:t>2</w:t>
            </w: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O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6.1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6.0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6.1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6.5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6.9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6.8</w:t>
            </w:r>
          </w:p>
        </w:tc>
      </w:tr>
      <w:tr w:rsidR="00DF7DBD" w:rsidRPr="00DF7DBD" w:rsidTr="006D18FD"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pH </w:t>
            </w:r>
            <w:proofErr w:type="spellStart"/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ClK</w:t>
            </w:r>
            <w:proofErr w:type="spellEnd"/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5.1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5.1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5.0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5.2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5.5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5.3</w:t>
            </w:r>
          </w:p>
        </w:tc>
      </w:tr>
      <w:tr w:rsidR="00DF7DBD" w:rsidRPr="00DF7DBD" w:rsidTr="006D18FD">
        <w:tc>
          <w:tcPr>
            <w:tcW w:w="2905" w:type="dxa"/>
            <w:gridSpan w:val="2"/>
            <w:tcBorders>
              <w:top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Capacidad de intercambio catiónico (</w:t>
            </w:r>
            <w:proofErr w:type="spellStart"/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m.e</w:t>
            </w:r>
            <w:proofErr w:type="spellEnd"/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./100 g) =</w:t>
            </w:r>
          </w:p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Valor T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23.00</w:t>
            </w: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25.80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26.30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31.40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33.80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27.80</w:t>
            </w:r>
          </w:p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DF7DBD" w:rsidRPr="00DF7DBD" w:rsidTr="006D18FD"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       d       Ca ++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15.20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17.60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17.90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23.00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25.80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22.40</w:t>
            </w:r>
          </w:p>
        </w:tc>
      </w:tr>
      <w:tr w:rsidR="00DF7DBD" w:rsidRPr="00DF7DBD" w:rsidTr="006D18FD"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C     e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DF7DBD" w:rsidRPr="00DF7DBD" w:rsidTr="006D18FD"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a              Mg++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2.90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2.80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3.00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2.90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2.20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1.80</w:t>
            </w:r>
          </w:p>
        </w:tc>
      </w:tr>
      <w:tr w:rsidR="00DF7DBD" w:rsidRPr="00DF7DBD" w:rsidTr="006D18FD"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t      C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</w:tr>
      <w:tr w:rsidR="00DF7DBD" w:rsidRPr="00DF7DBD" w:rsidTr="006D18FD"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i       a       K+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2.00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2.05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2.20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2.50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3.00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1.90</w:t>
            </w:r>
          </w:p>
        </w:tc>
      </w:tr>
      <w:tr w:rsidR="00DF7DBD" w:rsidRPr="00DF7DBD" w:rsidTr="006D18FD"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o     m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DF7DBD" w:rsidRPr="00DF7DBD" w:rsidTr="006D18FD"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n     b       </w:t>
            </w:r>
            <w:proofErr w:type="spellStart"/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Na</w:t>
            </w:r>
            <w:proofErr w:type="spellEnd"/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+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0.43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0.50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0.31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0.50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0.62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0.20</w:t>
            </w:r>
          </w:p>
        </w:tc>
      </w:tr>
      <w:tr w:rsidR="00DF7DBD" w:rsidRPr="00DF7DBD" w:rsidTr="006D18FD">
        <w:trPr>
          <w:trHeight w:val="95"/>
        </w:trPr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proofErr w:type="spellStart"/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e</w:t>
            </w:r>
            <w:proofErr w:type="spellEnd"/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   i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</w:tr>
      <w:tr w:rsidR="00DF7DBD" w:rsidRPr="00DF7DBD" w:rsidTr="00DF7DBD"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s      o       H+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2.25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2.25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2.25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1.80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1.70</w:t>
            </w:r>
          </w:p>
        </w:tc>
        <w:tc>
          <w:tcPr>
            <w:tcW w:w="964" w:type="dxa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1.30</w:t>
            </w:r>
          </w:p>
        </w:tc>
      </w:tr>
      <w:tr w:rsidR="00DF7DBD" w:rsidRPr="00DF7DBD" w:rsidTr="00DF7DBD">
        <w:tc>
          <w:tcPr>
            <w:tcW w:w="2905" w:type="dxa"/>
            <w:gridSpan w:val="2"/>
            <w:tcBorders>
              <w:bottom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% </w:t>
            </w:r>
            <w:proofErr w:type="spellStart"/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Na</w:t>
            </w:r>
            <w:proofErr w:type="spellEnd"/>
            <w:r w:rsidRPr="00DF7DBD">
              <w:rPr>
                <w:rFonts w:ascii="Times New Roman" w:eastAsia="Times New Roman" w:hAnsi="Times New Roman" w:cs="Times New Roman"/>
                <w:lang w:val="es-ES_tradnl" w:eastAsia="es-ES"/>
              </w:rPr>
              <w:t>/T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1.87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1.94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1.18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1.59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1.83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0.72</w:t>
            </w:r>
          </w:p>
        </w:tc>
      </w:tr>
      <w:tr w:rsidR="00DF7DBD" w:rsidRPr="00DF7DBD" w:rsidTr="00DF7DBD">
        <w:tc>
          <w:tcPr>
            <w:tcW w:w="2905" w:type="dxa"/>
            <w:gridSpan w:val="2"/>
            <w:tcBorders>
              <w:top w:val="single" w:sz="4" w:space="0" w:color="auto"/>
            </w:tcBorders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DF7DBD" w:rsidRPr="00DF7DBD" w:rsidTr="00DF7DBD"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Equivalente de humedad (%)</w:t>
            </w:r>
          </w:p>
        </w:tc>
        <w:tc>
          <w:tcPr>
            <w:tcW w:w="964" w:type="dxa"/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64" w:type="dxa"/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64" w:type="dxa"/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64" w:type="dxa"/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64" w:type="dxa"/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64" w:type="dxa"/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</w:tr>
      <w:tr w:rsidR="00DF7DBD" w:rsidRPr="00DF7DBD" w:rsidTr="006D18FD">
        <w:tc>
          <w:tcPr>
            <w:tcW w:w="2905" w:type="dxa"/>
            <w:gridSpan w:val="2"/>
          </w:tcPr>
          <w:p w:rsidR="00DF7DBD" w:rsidRPr="00DF7DBD" w:rsidRDefault="00DF7DBD" w:rsidP="00DF7DB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P asimilable (P</w:t>
            </w:r>
            <w:r w:rsidRPr="00DF7DBD">
              <w:rPr>
                <w:rFonts w:ascii="Times New Roman" w:eastAsia="Times New Roman" w:hAnsi="Times New Roman" w:cs="Times New Roman"/>
                <w:vertAlign w:val="subscript"/>
                <w:lang w:val="es-ES" w:eastAsia="es-ES"/>
              </w:rPr>
              <w:t>2</w:t>
            </w: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O</w:t>
            </w:r>
            <w:r w:rsidRPr="00DF7DBD">
              <w:rPr>
                <w:rFonts w:ascii="Times New Roman" w:eastAsia="Times New Roman" w:hAnsi="Times New Roman" w:cs="Times New Roman"/>
                <w:vertAlign w:val="subscript"/>
                <w:lang w:val="es-ES" w:eastAsia="es-ES"/>
              </w:rPr>
              <w:t>5</w:t>
            </w: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)</w:t>
            </w:r>
          </w:p>
        </w:tc>
        <w:tc>
          <w:tcPr>
            <w:tcW w:w="964" w:type="dxa"/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64" w:type="dxa"/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64" w:type="dxa"/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64" w:type="dxa"/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64" w:type="dxa"/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64" w:type="dxa"/>
            <w:vAlign w:val="bottom"/>
          </w:tcPr>
          <w:p w:rsidR="00DF7DBD" w:rsidRPr="00DF7DBD" w:rsidRDefault="00DF7DBD" w:rsidP="00DF7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F7DBD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</w:tr>
    </w:tbl>
    <w:p w:rsidR="00CB629D" w:rsidRPr="00DF7DBD" w:rsidRDefault="00CB629D" w:rsidP="00DF7DBD">
      <w:pPr>
        <w:spacing w:after="0" w:line="240" w:lineRule="auto"/>
        <w:rPr>
          <w:rFonts w:ascii="Times New Roman" w:hAnsi="Times New Roman" w:cs="Times New Roman"/>
        </w:rPr>
      </w:pPr>
    </w:p>
    <w:sectPr w:rsidR="00CB629D" w:rsidRPr="00DF7DBD" w:rsidSect="00DF7DBD">
      <w:pgSz w:w="12240" w:h="15840" w:code="11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BD"/>
    <w:rsid w:val="00196398"/>
    <w:rsid w:val="00CB629D"/>
    <w:rsid w:val="00D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D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F7DB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F7DBD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D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F7DB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F7DBD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1093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dcterms:created xsi:type="dcterms:W3CDTF">2014-02-11T14:39:00Z</dcterms:created>
  <dcterms:modified xsi:type="dcterms:W3CDTF">2014-02-11T14:48:00Z</dcterms:modified>
</cp:coreProperties>
</file>