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2E0" w:rsidRPr="000C22E0" w:rsidRDefault="000C22E0" w:rsidP="000C22E0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lang w:val="es-ES_tradnl"/>
        </w:rPr>
      </w:pPr>
    </w:p>
    <w:p w:rsidR="000C22E0" w:rsidRPr="000C22E0" w:rsidRDefault="000C22E0" w:rsidP="000C22E0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</w:rPr>
      </w:pPr>
      <w:r w:rsidRPr="000C22E0">
        <w:rPr>
          <w:b/>
          <w:szCs w:val="24"/>
        </w:rPr>
        <w:t xml:space="preserve">SERIE CARABALLO                                                                                      </w:t>
      </w:r>
      <w:r w:rsidRPr="000C22E0">
        <w:rPr>
          <w:szCs w:val="24"/>
        </w:rPr>
        <w:t>Símbolo:</w:t>
      </w:r>
      <w:r w:rsidRPr="000C22E0">
        <w:rPr>
          <w:b/>
          <w:szCs w:val="24"/>
        </w:rPr>
        <w:t xml:space="preserve"> </w:t>
      </w:r>
      <w:proofErr w:type="spellStart"/>
      <w:r w:rsidRPr="000C22E0">
        <w:rPr>
          <w:b/>
          <w:szCs w:val="24"/>
        </w:rPr>
        <w:t>Crb</w:t>
      </w:r>
      <w:proofErr w:type="spellEnd"/>
    </w:p>
    <w:p w:rsidR="000C22E0" w:rsidRPr="000C22E0" w:rsidRDefault="000C22E0" w:rsidP="000C22E0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</w:p>
    <w:p w:rsidR="000C22E0" w:rsidRPr="000C22E0" w:rsidRDefault="000C22E0" w:rsidP="000C22E0">
      <w:pPr>
        <w:pStyle w:val="Sangradetextonormal"/>
        <w:tabs>
          <w:tab w:val="left" w:pos="1134"/>
          <w:tab w:val="left" w:pos="5954"/>
        </w:tabs>
        <w:jc w:val="both"/>
        <w:rPr>
          <w:sz w:val="22"/>
          <w:szCs w:val="22"/>
        </w:rPr>
      </w:pPr>
    </w:p>
    <w:p w:rsidR="000C22E0" w:rsidRPr="000C22E0" w:rsidRDefault="000C22E0" w:rsidP="000C22E0">
      <w:pPr>
        <w:tabs>
          <w:tab w:val="right" w:pos="8956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0C22E0">
        <w:rPr>
          <w:spacing w:val="-1"/>
          <w:sz w:val="22"/>
          <w:szCs w:val="22"/>
          <w:lang w:val="es-ES_tradnl"/>
        </w:rPr>
        <w:t xml:space="preserve">Pertenece a la familia "fina, neutra, térmica" de los </w:t>
      </w:r>
      <w:proofErr w:type="spellStart"/>
      <w:r w:rsidRPr="000C22E0">
        <w:rPr>
          <w:spacing w:val="-1"/>
          <w:sz w:val="22"/>
          <w:szCs w:val="22"/>
          <w:u w:val="single"/>
          <w:lang w:val="es-ES_tradnl"/>
        </w:rPr>
        <w:t>Peludertes</w:t>
      </w:r>
      <w:proofErr w:type="spellEnd"/>
      <w:r w:rsidRPr="000C22E0">
        <w:rPr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0C22E0">
        <w:rPr>
          <w:spacing w:val="-1"/>
          <w:sz w:val="22"/>
          <w:szCs w:val="22"/>
          <w:u w:val="single"/>
          <w:lang w:val="es-ES_tradnl"/>
        </w:rPr>
        <w:t>argiacuólicos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(</w:t>
      </w:r>
      <w:proofErr w:type="spellStart"/>
      <w:r w:rsidRPr="000C22E0">
        <w:rPr>
          <w:spacing w:val="-1"/>
          <w:sz w:val="22"/>
          <w:szCs w:val="22"/>
          <w:lang w:val="es-ES_tradnl"/>
        </w:rPr>
        <w:t>vertisoles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hidromórficos con </w:t>
      </w:r>
      <w:proofErr w:type="spellStart"/>
      <w:r w:rsidRPr="000C22E0">
        <w:rPr>
          <w:spacing w:val="-1"/>
          <w:sz w:val="22"/>
          <w:szCs w:val="22"/>
          <w:lang w:val="es-ES_tradnl"/>
        </w:rPr>
        <w:t>epipedón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0C22E0">
        <w:rPr>
          <w:spacing w:val="-1"/>
          <w:sz w:val="22"/>
          <w:szCs w:val="22"/>
          <w:lang w:val="es-ES_tradnl"/>
        </w:rPr>
        <w:t>mólico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y un B2 textural).  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0C22E0">
        <w:rPr>
          <w:spacing w:val="-1"/>
          <w:sz w:val="22"/>
          <w:szCs w:val="22"/>
          <w:lang w:val="es-ES_tradnl"/>
        </w:rPr>
        <w:t xml:space="preserve">Tienen un </w:t>
      </w:r>
      <w:proofErr w:type="spellStart"/>
      <w:r w:rsidRPr="000C22E0">
        <w:rPr>
          <w:spacing w:val="-1"/>
          <w:sz w:val="22"/>
          <w:szCs w:val="22"/>
          <w:lang w:val="es-ES_tradnl"/>
        </w:rPr>
        <w:t>epipedón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franco-limoso a franco-arcillo-limoso y un horizonte </w:t>
      </w:r>
      <w:proofErr w:type="spellStart"/>
      <w:r w:rsidRPr="000C22E0">
        <w:rPr>
          <w:spacing w:val="-1"/>
          <w:sz w:val="22"/>
          <w:szCs w:val="22"/>
          <w:lang w:val="es-ES_tradnl"/>
        </w:rPr>
        <w:t>argílico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de textura arcillo-limosa. Presenta un </w:t>
      </w:r>
      <w:proofErr w:type="spellStart"/>
      <w:r w:rsidRPr="000C22E0">
        <w:rPr>
          <w:spacing w:val="-1"/>
          <w:sz w:val="22"/>
          <w:szCs w:val="22"/>
          <w:lang w:val="es-ES_tradnl"/>
        </w:rPr>
        <w:t>microrrelieve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0C22E0">
        <w:rPr>
          <w:spacing w:val="-1"/>
          <w:sz w:val="22"/>
          <w:szCs w:val="22"/>
          <w:lang w:val="es-ES_tradnl"/>
        </w:rPr>
        <w:t>gilgai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lineal no siempre visible que, en sectores, se manifiesta como </w:t>
      </w:r>
      <w:proofErr w:type="spellStart"/>
      <w:r w:rsidRPr="000C22E0">
        <w:rPr>
          <w:spacing w:val="-1"/>
          <w:sz w:val="22"/>
          <w:szCs w:val="22"/>
          <w:lang w:val="es-ES_tradnl"/>
        </w:rPr>
        <w:t>gilgai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irregular.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0C22E0">
        <w:rPr>
          <w:spacing w:val="-1"/>
          <w:sz w:val="22"/>
          <w:szCs w:val="22"/>
          <w:lang w:val="es-ES_tradnl"/>
        </w:rPr>
        <w:t xml:space="preserve">Son suelos desarrollados sobre materiales franco-arcillo-limosos con hasta un 40% de arcilla y con abundantes carbonatos en la masa y en forma de concreciones duras a partir de </w:t>
      </w:r>
      <w:smartTag w:uri="urn:schemas-microsoft-com:office:smarttags" w:element="metricconverter">
        <w:smartTagPr>
          <w:attr w:name="ProductID" w:val="60 cm"/>
        </w:smartTagPr>
        <w:r w:rsidRPr="000C22E0">
          <w:rPr>
            <w:spacing w:val="-1"/>
            <w:sz w:val="22"/>
            <w:szCs w:val="22"/>
            <w:lang w:val="es-ES_tradnl"/>
          </w:rPr>
          <w:t>60 cm</w:t>
        </w:r>
      </w:smartTag>
      <w:r w:rsidRPr="000C22E0">
        <w:rPr>
          <w:spacing w:val="-1"/>
          <w:sz w:val="22"/>
          <w:szCs w:val="22"/>
          <w:lang w:val="es-ES_tradnl"/>
        </w:rPr>
        <w:t xml:space="preserve">, y concreciones </w:t>
      </w:r>
      <w:proofErr w:type="spellStart"/>
      <w:r w:rsidRPr="000C22E0">
        <w:rPr>
          <w:spacing w:val="-1"/>
          <w:sz w:val="22"/>
          <w:szCs w:val="22"/>
          <w:lang w:val="es-ES_tradnl"/>
        </w:rPr>
        <w:t>ferromanganesíferas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abundantes desde la superficie.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it-IT"/>
        </w:rPr>
      </w:pPr>
      <w:r w:rsidRPr="000C22E0">
        <w:rPr>
          <w:b/>
          <w:spacing w:val="-1"/>
          <w:sz w:val="22"/>
          <w:szCs w:val="22"/>
          <w:lang w:val="it-IT"/>
        </w:rPr>
        <w:t>Perfil tipo:</w:t>
      </w:r>
      <w:r w:rsidRPr="000C22E0">
        <w:rPr>
          <w:spacing w:val="-1"/>
          <w:sz w:val="22"/>
          <w:szCs w:val="22"/>
          <w:lang w:val="it-IT"/>
        </w:rPr>
        <w:t xml:space="preserve"> ER7-</w:t>
      </w:r>
      <w:smartTag w:uri="urn:schemas-microsoft-com:office:smarttags" w:element="metricconverter">
        <w:smartTagPr>
          <w:attr w:name="ProductID" w:val="3C"/>
        </w:smartTagPr>
        <w:r w:rsidRPr="000C22E0">
          <w:rPr>
            <w:spacing w:val="-1"/>
            <w:sz w:val="22"/>
            <w:szCs w:val="22"/>
            <w:lang w:val="it-IT"/>
          </w:rPr>
          <w:t>3C</w:t>
        </w:r>
      </w:smartTag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it-IT"/>
        </w:rPr>
      </w:pPr>
      <w:r w:rsidRPr="000C22E0">
        <w:rPr>
          <w:b/>
          <w:spacing w:val="-1"/>
          <w:sz w:val="22"/>
          <w:szCs w:val="22"/>
          <w:lang w:val="it-IT"/>
        </w:rPr>
        <w:t>Fecha:</w:t>
      </w:r>
      <w:r w:rsidRPr="000C22E0">
        <w:rPr>
          <w:spacing w:val="-1"/>
          <w:sz w:val="22"/>
          <w:szCs w:val="22"/>
          <w:lang w:val="it-IT"/>
        </w:rPr>
        <w:t xml:space="preserve"> 28-VI-1979.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0C22E0">
        <w:rPr>
          <w:b/>
          <w:spacing w:val="-1"/>
          <w:sz w:val="22"/>
          <w:szCs w:val="22"/>
          <w:lang w:val="es-ES_tradnl"/>
        </w:rPr>
        <w:t>Ubicación:</w:t>
      </w:r>
      <w:r w:rsidRPr="000C22E0">
        <w:rPr>
          <w:spacing w:val="-1"/>
          <w:sz w:val="22"/>
          <w:szCs w:val="22"/>
          <w:lang w:val="es-ES_tradnl"/>
        </w:rPr>
        <w:t xml:space="preserve"> Estación Miñones (foto 186-42) - Dpto. Federal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0C22E0">
        <w:rPr>
          <w:b/>
          <w:spacing w:val="-1"/>
          <w:sz w:val="22"/>
          <w:szCs w:val="22"/>
          <w:lang w:val="es-ES_tradnl"/>
        </w:rPr>
        <w:t>Reconocedores:</w:t>
      </w:r>
      <w:r w:rsidRPr="000C22E0">
        <w:rPr>
          <w:spacing w:val="-1"/>
          <w:sz w:val="22"/>
          <w:szCs w:val="22"/>
          <w:lang w:val="es-ES_tradnl"/>
        </w:rPr>
        <w:t xml:space="preserve"> L.O. López; C.V. Acosta.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0C22E0">
        <w:rPr>
          <w:b/>
          <w:spacing w:val="-1"/>
          <w:sz w:val="22"/>
          <w:szCs w:val="22"/>
          <w:lang w:val="es-ES_tradnl"/>
        </w:rPr>
        <w:t>A11</w:t>
      </w:r>
      <w:r w:rsidRPr="000C22E0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0C22E0">
        <w:rPr>
          <w:spacing w:val="-1"/>
          <w:sz w:val="22"/>
          <w:szCs w:val="22"/>
          <w:lang w:val="es-ES_tradnl"/>
        </w:rPr>
        <w:t>00-</w:t>
      </w:r>
      <w:smartTag w:uri="urn:schemas-microsoft-com:office:smarttags" w:element="metricconverter">
        <w:smartTagPr>
          <w:attr w:name="ProductID" w:val="11 cm"/>
        </w:smartTagPr>
        <w:r w:rsidRPr="000C22E0">
          <w:rPr>
            <w:spacing w:val="-1"/>
            <w:sz w:val="22"/>
            <w:szCs w:val="22"/>
            <w:lang w:val="es-ES_tradnl"/>
          </w:rPr>
          <w:t>11 cm</w:t>
        </w:r>
      </w:smartTag>
      <w:r w:rsidRPr="000C22E0">
        <w:rPr>
          <w:spacing w:val="-1"/>
          <w:sz w:val="22"/>
          <w:szCs w:val="22"/>
          <w:lang w:val="es-ES_tradnl"/>
        </w:rPr>
        <w:t xml:space="preserve">; pardo grisáceo muy oscuro (10YR 3/2) en húmedo; pardo grisáceo (10YR 5/2) en seco; franco-limoso; estructura granular y en bloques </w:t>
      </w:r>
      <w:proofErr w:type="spellStart"/>
      <w:r w:rsidRPr="000C22E0">
        <w:rPr>
          <w:spacing w:val="-1"/>
          <w:sz w:val="22"/>
          <w:szCs w:val="22"/>
          <w:lang w:val="es-ES_tradnl"/>
        </w:rPr>
        <w:t>subangulares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medios, débiles; friable en húmedo; barnices ("</w:t>
      </w:r>
      <w:proofErr w:type="spellStart"/>
      <w:r w:rsidRPr="000C22E0">
        <w:rPr>
          <w:spacing w:val="-1"/>
          <w:sz w:val="22"/>
          <w:szCs w:val="22"/>
          <w:lang w:val="es-ES_tradnl"/>
        </w:rPr>
        <w:t>clay-humic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0C22E0">
        <w:rPr>
          <w:spacing w:val="-1"/>
          <w:sz w:val="22"/>
          <w:szCs w:val="22"/>
          <w:lang w:val="es-ES_tradnl"/>
        </w:rPr>
        <w:t>skins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") escasos; moteados de hierro-manganeso comunes, precisos y finos; concreciones de hierro-manganeso de hasta </w:t>
      </w:r>
      <w:smartTag w:uri="urn:schemas-microsoft-com:office:smarttags" w:element="metricconverter">
        <w:smartTagPr>
          <w:attr w:name="ProductID" w:val="2 mm"/>
        </w:smartTagPr>
        <w:r w:rsidRPr="000C22E0">
          <w:rPr>
            <w:spacing w:val="-1"/>
            <w:sz w:val="22"/>
            <w:szCs w:val="22"/>
            <w:lang w:val="es-ES_tradnl"/>
          </w:rPr>
          <w:t>2 mm</w:t>
        </w:r>
      </w:smartTag>
      <w:r w:rsidRPr="000C22E0">
        <w:rPr>
          <w:spacing w:val="-1"/>
          <w:sz w:val="22"/>
          <w:szCs w:val="22"/>
          <w:lang w:val="es-ES_tradnl"/>
        </w:rPr>
        <w:t>, abundantes; límite claro, suave.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0C22E0">
        <w:rPr>
          <w:b/>
          <w:spacing w:val="-1"/>
          <w:sz w:val="22"/>
          <w:szCs w:val="22"/>
          <w:lang w:val="es-ES_tradnl"/>
        </w:rPr>
        <w:t>A12</w:t>
      </w:r>
      <w:r w:rsidRPr="000C22E0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0C22E0">
        <w:rPr>
          <w:spacing w:val="-1"/>
          <w:sz w:val="22"/>
          <w:szCs w:val="22"/>
          <w:lang w:val="es-ES_tradnl"/>
        </w:rPr>
        <w:t>11-</w:t>
      </w:r>
      <w:smartTag w:uri="urn:schemas-microsoft-com:office:smarttags" w:element="metricconverter">
        <w:smartTagPr>
          <w:attr w:name="ProductID" w:val="19 cm"/>
        </w:smartTagPr>
        <w:r w:rsidRPr="000C22E0">
          <w:rPr>
            <w:spacing w:val="-1"/>
            <w:sz w:val="22"/>
            <w:szCs w:val="22"/>
            <w:lang w:val="es-ES_tradnl"/>
          </w:rPr>
          <w:t>19 cm</w:t>
        </w:r>
      </w:smartTag>
      <w:r w:rsidRPr="000C22E0">
        <w:rPr>
          <w:spacing w:val="-1"/>
          <w:sz w:val="22"/>
          <w:szCs w:val="22"/>
          <w:lang w:val="es-ES_tradnl"/>
        </w:rPr>
        <w:t xml:space="preserve">; gris muy oscuro (10YR 3/1) en húmedo; pardo grisáceo (10YR 5/2) en seco; franco-limoso; estructura granular y en bloques </w:t>
      </w:r>
      <w:proofErr w:type="spellStart"/>
      <w:r w:rsidRPr="000C22E0">
        <w:rPr>
          <w:spacing w:val="-1"/>
          <w:sz w:val="22"/>
          <w:szCs w:val="22"/>
          <w:lang w:val="es-ES_tradnl"/>
        </w:rPr>
        <w:t>subangulares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medios, moderados; friable en húmedo; barnices ("</w:t>
      </w:r>
      <w:proofErr w:type="spellStart"/>
      <w:r w:rsidRPr="000C22E0">
        <w:rPr>
          <w:spacing w:val="-1"/>
          <w:sz w:val="22"/>
          <w:szCs w:val="22"/>
          <w:lang w:val="es-ES_tradnl"/>
        </w:rPr>
        <w:t>clay-humic-skins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") escasos; moteados de hierro-manganeso comunes, precisos y finos; concreciones de hierro-manganeso abundantes, de hasta </w:t>
      </w:r>
      <w:smartTag w:uri="urn:schemas-microsoft-com:office:smarttags" w:element="metricconverter">
        <w:smartTagPr>
          <w:attr w:name="ProductID" w:val="4 mm"/>
        </w:smartTagPr>
        <w:r w:rsidRPr="000C22E0">
          <w:rPr>
            <w:spacing w:val="-1"/>
            <w:sz w:val="22"/>
            <w:szCs w:val="22"/>
            <w:lang w:val="es-ES_tradnl"/>
          </w:rPr>
          <w:t>4 mm</w:t>
        </w:r>
      </w:smartTag>
      <w:r w:rsidRPr="000C22E0">
        <w:rPr>
          <w:spacing w:val="-1"/>
          <w:sz w:val="22"/>
          <w:szCs w:val="22"/>
          <w:lang w:val="es-ES_tradnl"/>
        </w:rPr>
        <w:t>; horizonte lixiviado por las caras de los agregados; límite abrupto, suave.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0C22E0">
        <w:rPr>
          <w:b/>
          <w:spacing w:val="-1"/>
          <w:sz w:val="22"/>
          <w:szCs w:val="22"/>
          <w:lang w:val="es-ES_tradnl"/>
        </w:rPr>
        <w:t>B1</w:t>
      </w:r>
      <w:r w:rsidRPr="000C22E0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0C22E0">
        <w:rPr>
          <w:spacing w:val="-1"/>
          <w:sz w:val="22"/>
          <w:szCs w:val="22"/>
          <w:lang w:val="es-ES_tradnl"/>
        </w:rPr>
        <w:t>19-</w:t>
      </w:r>
      <w:smartTag w:uri="urn:schemas-microsoft-com:office:smarttags" w:element="metricconverter">
        <w:smartTagPr>
          <w:attr w:name="ProductID" w:val="30 cm"/>
        </w:smartTagPr>
        <w:r w:rsidRPr="000C22E0">
          <w:rPr>
            <w:spacing w:val="-1"/>
            <w:sz w:val="22"/>
            <w:szCs w:val="22"/>
            <w:lang w:val="es-ES_tradnl"/>
          </w:rPr>
          <w:t>30 cm</w:t>
        </w:r>
      </w:smartTag>
      <w:r w:rsidRPr="000C22E0">
        <w:rPr>
          <w:spacing w:val="-1"/>
          <w:sz w:val="22"/>
          <w:szCs w:val="22"/>
          <w:lang w:val="es-ES_tradnl"/>
        </w:rPr>
        <w:t xml:space="preserve">; gris muy oscuro (10YR 3/1) en húmedo; gris oscuro (10YR 4/1) en seco; arcillo-limoso; estructura en bloques </w:t>
      </w:r>
      <w:proofErr w:type="spellStart"/>
      <w:r w:rsidRPr="000C22E0">
        <w:rPr>
          <w:spacing w:val="-1"/>
          <w:sz w:val="22"/>
          <w:szCs w:val="22"/>
          <w:lang w:val="es-ES_tradnl"/>
        </w:rPr>
        <w:t>subangulares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irregulares y bloques cuneiformes con tendencia a estructura prismática; firme en húmedo; caras de fricción ("</w:t>
      </w:r>
      <w:proofErr w:type="spellStart"/>
      <w:r w:rsidRPr="000C22E0">
        <w:rPr>
          <w:spacing w:val="-1"/>
          <w:sz w:val="22"/>
          <w:szCs w:val="22"/>
          <w:lang w:val="es-ES_tradnl"/>
        </w:rPr>
        <w:t>slickensides</w:t>
      </w:r>
      <w:proofErr w:type="spellEnd"/>
      <w:r w:rsidRPr="000C22E0">
        <w:rPr>
          <w:spacing w:val="-1"/>
          <w:sz w:val="22"/>
          <w:szCs w:val="22"/>
          <w:lang w:val="es-ES_tradnl"/>
        </w:rPr>
        <w:t>") escasas, finas; moteados de hierro-manganeso escasos, precisos y finos; límite claro, suave.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0C22E0">
        <w:rPr>
          <w:b/>
          <w:spacing w:val="-1"/>
          <w:sz w:val="22"/>
          <w:szCs w:val="22"/>
          <w:lang w:val="es-ES_tradnl"/>
        </w:rPr>
        <w:t>B21t</w:t>
      </w:r>
      <w:r w:rsidRPr="000C22E0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0C22E0">
        <w:rPr>
          <w:spacing w:val="-1"/>
          <w:sz w:val="22"/>
          <w:szCs w:val="22"/>
          <w:lang w:val="es-ES_tradnl"/>
        </w:rPr>
        <w:t>30-</w:t>
      </w:r>
      <w:smartTag w:uri="urn:schemas-microsoft-com:office:smarttags" w:element="metricconverter">
        <w:smartTagPr>
          <w:attr w:name="ProductID" w:val="65 cm"/>
        </w:smartTagPr>
        <w:r w:rsidRPr="000C22E0">
          <w:rPr>
            <w:spacing w:val="-1"/>
            <w:sz w:val="22"/>
            <w:szCs w:val="22"/>
            <w:lang w:val="es-ES_tradnl"/>
          </w:rPr>
          <w:t>65 cm</w:t>
        </w:r>
      </w:smartTag>
      <w:r w:rsidRPr="000C22E0">
        <w:rPr>
          <w:spacing w:val="-1"/>
          <w:sz w:val="22"/>
          <w:szCs w:val="22"/>
          <w:lang w:val="es-ES_tradnl"/>
        </w:rPr>
        <w:t>; gris muy oscuro (10YR 3/1) en húmedo; arcillo-limoso; estructura en bloques angulares irregulares y cuneiformes medios, fuertes; extremadamente duro en seco; firme en húmedo; caras de fricción ("</w:t>
      </w:r>
      <w:proofErr w:type="spellStart"/>
      <w:r w:rsidRPr="000C22E0">
        <w:rPr>
          <w:spacing w:val="-1"/>
          <w:sz w:val="22"/>
          <w:szCs w:val="22"/>
          <w:lang w:val="es-ES_tradnl"/>
        </w:rPr>
        <w:t>slickensides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") abundantes, gruesas; moteados de hierro-manganeso comunes, precisos y finos; concreciones de hierro-manganeso de hasta </w:t>
      </w:r>
      <w:smartTag w:uri="urn:schemas-microsoft-com:office:smarttags" w:element="metricconverter">
        <w:smartTagPr>
          <w:attr w:name="ProductID" w:val="3 mm"/>
        </w:smartTagPr>
        <w:r w:rsidRPr="000C22E0">
          <w:rPr>
            <w:spacing w:val="-1"/>
            <w:sz w:val="22"/>
            <w:szCs w:val="22"/>
            <w:lang w:val="es-ES_tradnl"/>
          </w:rPr>
          <w:t>3 mm</w:t>
        </w:r>
      </w:smartTag>
      <w:r w:rsidRPr="000C22E0">
        <w:rPr>
          <w:spacing w:val="-1"/>
          <w:sz w:val="22"/>
          <w:szCs w:val="22"/>
          <w:lang w:val="es-ES_tradnl"/>
        </w:rPr>
        <w:t>, abundantes; límite gradual, ondulado.</w:t>
      </w:r>
    </w:p>
    <w:p w:rsidR="000C22E0" w:rsidRDefault="000C22E0" w:rsidP="000C22E0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0C22E0">
        <w:rPr>
          <w:b/>
          <w:spacing w:val="-1"/>
          <w:sz w:val="22"/>
          <w:szCs w:val="22"/>
          <w:lang w:val="es-ES_tradnl"/>
        </w:rPr>
        <w:t>B22ca</w:t>
      </w:r>
      <w:r w:rsidRPr="000C22E0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0C22E0">
        <w:rPr>
          <w:spacing w:val="-1"/>
          <w:sz w:val="22"/>
          <w:szCs w:val="22"/>
          <w:lang w:val="es-ES_tradnl"/>
        </w:rPr>
        <w:t>65-</w:t>
      </w:r>
      <w:smartTag w:uri="urn:schemas-microsoft-com:office:smarttags" w:element="metricconverter">
        <w:smartTagPr>
          <w:attr w:name="ProductID" w:val="85 cm"/>
        </w:smartTagPr>
        <w:r w:rsidRPr="000C22E0">
          <w:rPr>
            <w:spacing w:val="-1"/>
            <w:sz w:val="22"/>
            <w:szCs w:val="22"/>
            <w:lang w:val="es-ES_tradnl"/>
          </w:rPr>
          <w:t>85 cm</w:t>
        </w:r>
      </w:smartTag>
      <w:r w:rsidRPr="000C22E0">
        <w:rPr>
          <w:spacing w:val="-1"/>
          <w:sz w:val="22"/>
          <w:szCs w:val="22"/>
          <w:lang w:val="es-ES_tradnl"/>
        </w:rPr>
        <w:t>; gris oscuro (10YR 4/1) en húmedo; arcillo-limoso; estructura en bloques angulares irregulares medios, moderados; firme en húmedo; caras de fricción ("</w:t>
      </w:r>
      <w:proofErr w:type="spellStart"/>
      <w:r w:rsidRPr="000C22E0">
        <w:rPr>
          <w:spacing w:val="-1"/>
          <w:sz w:val="22"/>
          <w:szCs w:val="22"/>
          <w:lang w:val="es-ES_tradnl"/>
        </w:rPr>
        <w:t>slickensides</w:t>
      </w:r>
      <w:proofErr w:type="spellEnd"/>
      <w:r w:rsidRPr="000C22E0">
        <w:rPr>
          <w:spacing w:val="-1"/>
          <w:sz w:val="22"/>
          <w:szCs w:val="22"/>
          <w:lang w:val="es-ES_tradnl"/>
        </w:rPr>
        <w:t>") escasas; barnices ("</w:t>
      </w:r>
      <w:proofErr w:type="spellStart"/>
      <w:r w:rsidRPr="000C22E0">
        <w:rPr>
          <w:spacing w:val="-1"/>
          <w:sz w:val="22"/>
          <w:szCs w:val="22"/>
          <w:lang w:val="es-ES_tradnl"/>
        </w:rPr>
        <w:t>clay-humic-skins</w:t>
      </w:r>
      <w:proofErr w:type="spellEnd"/>
      <w:r w:rsidRPr="000C22E0">
        <w:rPr>
          <w:spacing w:val="-1"/>
          <w:sz w:val="22"/>
          <w:szCs w:val="22"/>
          <w:lang w:val="es-ES_tradnl"/>
        </w:rPr>
        <w:t>") abundantes; moteados de hierro-manganeso abundantes, gruesos y sobresalientes; límite difuso, ondulado.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0C22E0">
        <w:rPr>
          <w:b/>
          <w:spacing w:val="-1"/>
          <w:sz w:val="22"/>
          <w:szCs w:val="22"/>
          <w:lang w:val="es-ES_tradnl"/>
        </w:rPr>
        <w:lastRenderedPageBreak/>
        <w:t>B3ca</w:t>
      </w:r>
      <w:r w:rsidRPr="000C22E0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0C22E0">
        <w:rPr>
          <w:spacing w:val="-1"/>
          <w:sz w:val="22"/>
          <w:szCs w:val="22"/>
          <w:lang w:val="es-ES_tradnl"/>
        </w:rPr>
        <w:t>85-</w:t>
      </w:r>
      <w:smartTag w:uri="urn:schemas-microsoft-com:office:smarttags" w:element="metricconverter">
        <w:smartTagPr>
          <w:attr w:name="ProductID" w:val="105 cm"/>
        </w:smartTagPr>
        <w:r w:rsidRPr="000C22E0">
          <w:rPr>
            <w:spacing w:val="-1"/>
            <w:sz w:val="22"/>
            <w:szCs w:val="22"/>
            <w:lang w:val="es-ES_tradnl"/>
          </w:rPr>
          <w:t>105 cm</w:t>
        </w:r>
      </w:smartTag>
      <w:r w:rsidRPr="000C22E0">
        <w:rPr>
          <w:spacing w:val="-1"/>
          <w:sz w:val="22"/>
          <w:szCs w:val="22"/>
          <w:lang w:val="es-ES_tradnl"/>
        </w:rPr>
        <w:t>; pardo (7,5YR 5/2) en húmedo; franco-arcillo-limoso; estructura en bloques angulares irregulares medios, moderados; ligeramente duro en seco; friable en húmedo; caras de fricción ("</w:t>
      </w:r>
      <w:proofErr w:type="spellStart"/>
      <w:r w:rsidRPr="000C22E0">
        <w:rPr>
          <w:spacing w:val="-1"/>
          <w:sz w:val="22"/>
          <w:szCs w:val="22"/>
          <w:lang w:val="es-ES_tradnl"/>
        </w:rPr>
        <w:t>slickensides</w:t>
      </w:r>
      <w:proofErr w:type="spellEnd"/>
      <w:r w:rsidRPr="000C22E0">
        <w:rPr>
          <w:spacing w:val="-1"/>
          <w:sz w:val="22"/>
          <w:szCs w:val="22"/>
          <w:lang w:val="es-ES_tradnl"/>
        </w:rPr>
        <w:t>") abundantes, finas; moteados de hierro-manganeso abundantes, gruesos y sobresalientes; concreciones de hierro-manganeso abundantes; concreciones calcáreas abundantes; límite difuso, ondulado.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proofErr w:type="spellStart"/>
      <w:r w:rsidRPr="000C22E0">
        <w:rPr>
          <w:b/>
          <w:spacing w:val="-1"/>
          <w:sz w:val="22"/>
          <w:szCs w:val="22"/>
          <w:lang w:val="es-ES_tradnl"/>
        </w:rPr>
        <w:t>Cca</w:t>
      </w:r>
      <w:proofErr w:type="spellEnd"/>
      <w:r w:rsidRPr="000C22E0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0C22E0">
        <w:rPr>
          <w:spacing w:val="-1"/>
          <w:sz w:val="22"/>
          <w:szCs w:val="22"/>
          <w:lang w:val="es-ES_tradnl"/>
        </w:rPr>
        <w:t>105-</w:t>
      </w:r>
      <w:smartTag w:uri="urn:schemas-microsoft-com:office:smarttags" w:element="metricconverter">
        <w:smartTagPr>
          <w:attr w:name="ProductID" w:val="145 cm"/>
        </w:smartTagPr>
        <w:r w:rsidRPr="000C22E0">
          <w:rPr>
            <w:spacing w:val="-1"/>
            <w:sz w:val="22"/>
            <w:szCs w:val="22"/>
            <w:lang w:val="es-ES_tradnl"/>
          </w:rPr>
          <w:t>145 cm</w:t>
        </w:r>
      </w:smartTag>
      <w:r w:rsidRPr="000C22E0">
        <w:rPr>
          <w:spacing w:val="-1"/>
          <w:sz w:val="22"/>
          <w:szCs w:val="22"/>
          <w:lang w:val="es-ES_tradnl"/>
        </w:rPr>
        <w:t>; pardo claro (7,5YR 6/4) en húmedo; franco-arcillo-limoso; estructura en bloques angulares irregulares medios, moderados; duro en seco; friable en húmedo; caras de fricción ("</w:t>
      </w:r>
      <w:proofErr w:type="spellStart"/>
      <w:r w:rsidRPr="000C22E0">
        <w:rPr>
          <w:spacing w:val="-1"/>
          <w:sz w:val="22"/>
          <w:szCs w:val="22"/>
          <w:lang w:val="es-ES_tradnl"/>
        </w:rPr>
        <w:t>slickensides</w:t>
      </w:r>
      <w:proofErr w:type="spellEnd"/>
      <w:r w:rsidRPr="000C22E0">
        <w:rPr>
          <w:spacing w:val="-1"/>
          <w:sz w:val="22"/>
          <w:szCs w:val="22"/>
          <w:lang w:val="es-ES_tradnl"/>
        </w:rPr>
        <w:t>") abundantes, finas; moteados de hierro-manganeso abundantes, gruesos y sobresalientes; concreciones de hierro-manganeso escasas; concreciones calcáreas abundantes.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proofErr w:type="spellStart"/>
      <w:r w:rsidRPr="000C22E0">
        <w:rPr>
          <w:b/>
          <w:spacing w:val="-1"/>
          <w:sz w:val="22"/>
          <w:szCs w:val="22"/>
          <w:lang w:val="es-ES_tradnl"/>
        </w:rPr>
        <w:t>IICcag</w:t>
      </w:r>
      <w:proofErr w:type="spellEnd"/>
      <w:r w:rsidRPr="000C22E0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0C22E0">
        <w:rPr>
          <w:spacing w:val="-1"/>
          <w:sz w:val="22"/>
          <w:szCs w:val="22"/>
          <w:lang w:val="es-ES_tradnl"/>
        </w:rPr>
        <w:t>145 cm+; franco-arcillo-limoso; estructura en bloques cuneiformes medios, moderados; friable en húmedo; caras de fricción ("</w:t>
      </w:r>
      <w:proofErr w:type="spellStart"/>
      <w:r w:rsidRPr="000C22E0">
        <w:rPr>
          <w:spacing w:val="-1"/>
          <w:sz w:val="22"/>
          <w:szCs w:val="22"/>
          <w:lang w:val="es-ES_tradnl"/>
        </w:rPr>
        <w:t>slickensides</w:t>
      </w:r>
      <w:proofErr w:type="spellEnd"/>
      <w:r w:rsidRPr="000C22E0">
        <w:rPr>
          <w:spacing w:val="-1"/>
          <w:sz w:val="22"/>
          <w:szCs w:val="22"/>
          <w:lang w:val="es-ES_tradnl"/>
        </w:rPr>
        <w:t>") abundantes, muy gruesas; concreciones de hierro-manganeso escasas; concreciones calcáreas abundantes.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0C22E0">
        <w:rPr>
          <w:b/>
          <w:spacing w:val="-1"/>
          <w:sz w:val="22"/>
          <w:szCs w:val="22"/>
          <w:u w:val="single"/>
          <w:lang w:val="es-ES_tradnl"/>
        </w:rPr>
        <w:t>Variabilidad de rasgos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0C22E0">
        <w:rPr>
          <w:spacing w:val="-1"/>
          <w:sz w:val="22"/>
          <w:szCs w:val="22"/>
          <w:lang w:val="es-ES_tradnl"/>
        </w:rPr>
        <w:t xml:space="preserve">La variabilidad está determinada principalmente por el </w:t>
      </w:r>
      <w:proofErr w:type="spellStart"/>
      <w:r w:rsidRPr="000C22E0">
        <w:rPr>
          <w:spacing w:val="-1"/>
          <w:sz w:val="22"/>
          <w:szCs w:val="22"/>
          <w:lang w:val="es-ES_tradnl"/>
        </w:rPr>
        <w:t>microrrelieve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0C22E0">
        <w:rPr>
          <w:spacing w:val="-1"/>
          <w:sz w:val="22"/>
          <w:szCs w:val="22"/>
          <w:lang w:val="es-ES_tradnl"/>
        </w:rPr>
        <w:t>gilgai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, no siempre visible, Se hace difícil ubicar este </w:t>
      </w:r>
      <w:proofErr w:type="spellStart"/>
      <w:r w:rsidRPr="000C22E0">
        <w:rPr>
          <w:spacing w:val="-1"/>
          <w:sz w:val="22"/>
          <w:szCs w:val="22"/>
          <w:lang w:val="es-ES_tradnl"/>
        </w:rPr>
        <w:t>microrrelieve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“in situ”, pero su existencia se confirma por las mezclas de materiales en algunas partes del perfil y las ondulaciones de los límites entre horizontes, a partir de los </w:t>
      </w:r>
      <w:smartTag w:uri="urn:schemas-microsoft-com:office:smarttags" w:element="metricconverter">
        <w:smartTagPr>
          <w:attr w:name="ProductID" w:val="30 cm"/>
        </w:smartTagPr>
        <w:r w:rsidRPr="000C22E0">
          <w:rPr>
            <w:spacing w:val="-1"/>
            <w:sz w:val="22"/>
            <w:szCs w:val="22"/>
            <w:lang w:val="es-ES_tradnl"/>
          </w:rPr>
          <w:t>30 cm</w:t>
        </w:r>
      </w:smartTag>
      <w:r w:rsidRPr="000C22E0">
        <w:rPr>
          <w:spacing w:val="-1"/>
          <w:sz w:val="22"/>
          <w:szCs w:val="22"/>
          <w:lang w:val="es-ES_tradnl"/>
        </w:rPr>
        <w:t xml:space="preserve"> de profundidad.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0C22E0">
        <w:rPr>
          <w:spacing w:val="-1"/>
          <w:sz w:val="22"/>
          <w:szCs w:val="22"/>
          <w:lang w:val="es-ES_tradnl"/>
        </w:rPr>
        <w:t xml:space="preserve">El </w:t>
      </w:r>
      <w:proofErr w:type="spellStart"/>
      <w:r w:rsidRPr="000C22E0">
        <w:rPr>
          <w:spacing w:val="-1"/>
          <w:sz w:val="22"/>
          <w:szCs w:val="22"/>
          <w:lang w:val="es-ES_tradnl"/>
        </w:rPr>
        <w:t>epipedón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varía entre 17-</w:t>
      </w:r>
      <w:smartTag w:uri="urn:schemas-microsoft-com:office:smarttags" w:element="metricconverter">
        <w:smartTagPr>
          <w:attr w:name="ProductID" w:val="25 cm"/>
        </w:smartTagPr>
        <w:r w:rsidRPr="000C22E0">
          <w:rPr>
            <w:spacing w:val="-1"/>
            <w:sz w:val="22"/>
            <w:szCs w:val="22"/>
            <w:lang w:val="es-ES_tradnl"/>
          </w:rPr>
          <w:t>25 cm</w:t>
        </w:r>
      </w:smartTag>
      <w:r w:rsidRPr="000C22E0">
        <w:rPr>
          <w:spacing w:val="-1"/>
          <w:sz w:val="22"/>
          <w:szCs w:val="22"/>
          <w:lang w:val="es-ES_tradnl"/>
        </w:rPr>
        <w:t xml:space="preserve">, franco-limoso a franco-arcillo-limoso (22-30 % de arcilla), bien estructurado en bloques </w:t>
      </w:r>
      <w:proofErr w:type="spellStart"/>
      <w:r w:rsidRPr="000C22E0">
        <w:rPr>
          <w:spacing w:val="-1"/>
          <w:sz w:val="22"/>
          <w:szCs w:val="22"/>
          <w:lang w:val="es-ES_tradnl"/>
        </w:rPr>
        <w:t>subangulares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, El horizonte B2 </w:t>
      </w:r>
      <w:proofErr w:type="spellStart"/>
      <w:r w:rsidRPr="000C22E0">
        <w:rPr>
          <w:spacing w:val="-1"/>
          <w:sz w:val="22"/>
          <w:szCs w:val="22"/>
          <w:lang w:val="es-ES_tradnl"/>
        </w:rPr>
        <w:t>argílico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tiene un espesor que varía entre 45-</w:t>
      </w:r>
      <w:smartTag w:uri="urn:schemas-microsoft-com:office:smarttags" w:element="metricconverter">
        <w:smartTagPr>
          <w:attr w:name="ProductID" w:val="55 cm"/>
        </w:smartTagPr>
        <w:r w:rsidRPr="000C22E0">
          <w:rPr>
            <w:spacing w:val="-1"/>
            <w:sz w:val="22"/>
            <w:szCs w:val="22"/>
            <w:lang w:val="es-ES_tradnl"/>
          </w:rPr>
          <w:t>55 cm</w:t>
        </w:r>
      </w:smartTag>
      <w:r w:rsidRPr="000C22E0">
        <w:rPr>
          <w:spacing w:val="-1"/>
          <w:sz w:val="22"/>
          <w:szCs w:val="22"/>
          <w:lang w:val="es-ES_tradnl"/>
        </w:rPr>
        <w:t>, de textura arcillo-limosa, con abundantes caras de fricción ("</w:t>
      </w:r>
      <w:proofErr w:type="spellStart"/>
      <w:r w:rsidRPr="000C22E0">
        <w:rPr>
          <w:spacing w:val="-1"/>
          <w:sz w:val="22"/>
          <w:szCs w:val="22"/>
          <w:lang w:val="es-ES_tradnl"/>
        </w:rPr>
        <w:t>slickensides</w:t>
      </w:r>
      <w:proofErr w:type="spellEnd"/>
      <w:r w:rsidRPr="000C22E0">
        <w:rPr>
          <w:spacing w:val="-1"/>
          <w:sz w:val="22"/>
          <w:szCs w:val="22"/>
          <w:lang w:val="es-ES_tradnl"/>
        </w:rPr>
        <w:t>") finas y gruesas, intersectadas.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0C22E0">
        <w:rPr>
          <w:spacing w:val="-1"/>
          <w:sz w:val="22"/>
          <w:szCs w:val="22"/>
          <w:lang w:val="es-ES_tradnl"/>
        </w:rPr>
        <w:t>Los carbonatos se presentan en concreciones duras a partir de los 65-</w:t>
      </w:r>
      <w:smartTag w:uri="urn:schemas-microsoft-com:office:smarttags" w:element="metricconverter">
        <w:smartTagPr>
          <w:attr w:name="ProductID" w:val="75 cm"/>
        </w:smartTagPr>
        <w:r w:rsidRPr="000C22E0">
          <w:rPr>
            <w:spacing w:val="-1"/>
            <w:sz w:val="22"/>
            <w:szCs w:val="22"/>
            <w:lang w:val="es-ES_tradnl"/>
          </w:rPr>
          <w:t>75 cm</w:t>
        </w:r>
      </w:smartTag>
      <w:r w:rsidRPr="000C22E0">
        <w:rPr>
          <w:spacing w:val="-1"/>
          <w:sz w:val="22"/>
          <w:szCs w:val="22"/>
          <w:lang w:val="es-ES_tradnl"/>
        </w:rPr>
        <w:t>.</w:t>
      </w:r>
    </w:p>
    <w:p w:rsid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0C22E0">
        <w:rPr>
          <w:b/>
          <w:spacing w:val="-1"/>
          <w:sz w:val="22"/>
          <w:szCs w:val="22"/>
          <w:u w:val="single"/>
          <w:lang w:val="es-ES_tradnl"/>
        </w:rPr>
        <w:t>Fases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0C22E0">
        <w:rPr>
          <w:spacing w:val="-1"/>
          <w:sz w:val="22"/>
          <w:szCs w:val="22"/>
          <w:lang w:val="es-ES_tradnl"/>
        </w:rPr>
        <w:t>No presenta a escala de reconocimiento.</w:t>
      </w:r>
    </w:p>
    <w:p w:rsid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0C22E0">
        <w:rPr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0C22E0">
        <w:rPr>
          <w:spacing w:val="-1"/>
          <w:sz w:val="22"/>
          <w:szCs w:val="22"/>
          <w:lang w:val="es-ES_tradnl"/>
        </w:rPr>
        <w:t xml:space="preserve">Se parece a la serie San Buenaventura (que tiene un </w:t>
      </w:r>
      <w:proofErr w:type="spellStart"/>
      <w:r w:rsidRPr="000C22E0">
        <w:rPr>
          <w:spacing w:val="-1"/>
          <w:sz w:val="22"/>
          <w:szCs w:val="22"/>
          <w:lang w:val="es-ES_tradnl"/>
        </w:rPr>
        <w:t>epipedón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más somero) y a la serie El Rancho (que es menos hidromórfica y tiene </w:t>
      </w:r>
      <w:proofErr w:type="spellStart"/>
      <w:r w:rsidRPr="000C22E0">
        <w:rPr>
          <w:spacing w:val="-1"/>
          <w:sz w:val="22"/>
          <w:szCs w:val="22"/>
          <w:lang w:val="es-ES_tradnl"/>
        </w:rPr>
        <w:t>gilgai</w:t>
      </w:r>
      <w:proofErr w:type="spellEnd"/>
      <w:r w:rsidRPr="000C22E0">
        <w:rPr>
          <w:spacing w:val="-1"/>
          <w:sz w:val="22"/>
          <w:szCs w:val="22"/>
          <w:lang w:val="es-ES_tradnl"/>
        </w:rPr>
        <w:t xml:space="preserve"> lineal bien desarrollado).</w:t>
      </w:r>
    </w:p>
    <w:p w:rsid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0C22E0">
        <w:rPr>
          <w:b/>
          <w:spacing w:val="-1"/>
          <w:sz w:val="22"/>
          <w:szCs w:val="22"/>
          <w:u w:val="single"/>
          <w:lang w:val="es-ES_tradnl"/>
        </w:rPr>
        <w:t>Drenaje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0C22E0">
        <w:rPr>
          <w:spacing w:val="-1"/>
          <w:sz w:val="22"/>
          <w:szCs w:val="22"/>
          <w:lang w:val="es-ES_tradnl"/>
        </w:rPr>
        <w:t>Imperfectamente drenado; escurrimiento superficial medio a lento. Permeabilidad lenta a muy lenta. Napa freática profunda. Grupo hidrológico D.</w:t>
      </w:r>
    </w:p>
    <w:p w:rsid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0C22E0">
        <w:rPr>
          <w:b/>
          <w:spacing w:val="-1"/>
          <w:sz w:val="22"/>
          <w:szCs w:val="22"/>
          <w:u w:val="single"/>
          <w:lang w:val="es-ES_tradnl"/>
        </w:rPr>
        <w:t>Erosión</w:t>
      </w:r>
    </w:p>
    <w:p w:rsidR="000C22E0" w:rsidRPr="000C22E0" w:rsidRDefault="000C22E0" w:rsidP="000C22E0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0C22E0" w:rsidRPr="000C22E0" w:rsidRDefault="000C22E0" w:rsidP="000C22E0">
      <w:pPr>
        <w:pStyle w:val="Sangradetextonormal"/>
        <w:tabs>
          <w:tab w:val="left" w:pos="5954"/>
        </w:tabs>
        <w:ind w:firstLine="0"/>
        <w:jc w:val="both"/>
        <w:rPr>
          <w:spacing w:val="-1"/>
          <w:sz w:val="22"/>
          <w:szCs w:val="22"/>
          <w:lang w:val="es-ES_tradnl"/>
        </w:rPr>
      </w:pPr>
      <w:r w:rsidRPr="000C22E0">
        <w:rPr>
          <w:spacing w:val="-1"/>
          <w:sz w:val="22"/>
          <w:szCs w:val="22"/>
          <w:lang w:val="es-ES_tradnl"/>
        </w:rPr>
        <w:t>La serie no presenta erosión hídrica actual y la susceptibilidad a la misma es leve.</w:t>
      </w:r>
    </w:p>
    <w:p w:rsidR="000C22E0" w:rsidRPr="000C22E0" w:rsidRDefault="000C22E0" w:rsidP="000C22E0">
      <w:pPr>
        <w:pStyle w:val="Ttulo1"/>
        <w:ind w:left="0"/>
        <w:rPr>
          <w:b/>
          <w:sz w:val="22"/>
          <w:szCs w:val="22"/>
          <w:u w:val="single"/>
        </w:rPr>
      </w:pPr>
      <w:r w:rsidRPr="000C22E0">
        <w:rPr>
          <w:b/>
          <w:sz w:val="22"/>
          <w:szCs w:val="22"/>
          <w:u w:val="single"/>
        </w:rPr>
        <w:lastRenderedPageBreak/>
        <w:t>DATOS ANALITICOS DEL PERFIL TIPO</w:t>
      </w:r>
    </w:p>
    <w:p w:rsidR="000C22E0" w:rsidRPr="000C22E0" w:rsidRDefault="000C22E0" w:rsidP="000C22E0">
      <w:pPr>
        <w:pStyle w:val="Ttulo5"/>
        <w:rPr>
          <w:sz w:val="22"/>
          <w:szCs w:val="22"/>
        </w:rPr>
      </w:pPr>
    </w:p>
    <w:p w:rsidR="000C22E0" w:rsidRPr="000C22E0" w:rsidRDefault="000C22E0" w:rsidP="000C22E0">
      <w:pPr>
        <w:pStyle w:val="Ttulo5"/>
        <w:rPr>
          <w:sz w:val="22"/>
          <w:szCs w:val="22"/>
        </w:rPr>
      </w:pPr>
      <w:r w:rsidRPr="000C22E0">
        <w:rPr>
          <w:sz w:val="22"/>
          <w:szCs w:val="22"/>
        </w:rPr>
        <w:t>Serie Caraballo</w:t>
      </w:r>
    </w:p>
    <w:p w:rsidR="000C22E0" w:rsidRPr="000C22E0" w:rsidRDefault="000C22E0" w:rsidP="000C22E0">
      <w:pPr>
        <w:rPr>
          <w:sz w:val="22"/>
          <w:szCs w:val="22"/>
        </w:rPr>
      </w:pPr>
    </w:p>
    <w:tbl>
      <w:tblPr>
        <w:tblW w:w="92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201"/>
        <w:gridCol w:w="1229"/>
        <w:gridCol w:w="708"/>
        <w:gridCol w:w="709"/>
        <w:gridCol w:w="709"/>
        <w:gridCol w:w="709"/>
        <w:gridCol w:w="850"/>
        <w:gridCol w:w="851"/>
        <w:gridCol w:w="992"/>
        <w:gridCol w:w="850"/>
      </w:tblGrid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0C22E0" w:rsidRPr="000C22E0" w:rsidRDefault="000C22E0" w:rsidP="000C22E0">
            <w:pPr>
              <w:rPr>
                <w:b/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ER7-</w:t>
            </w:r>
            <w:smartTag w:uri="urn:schemas-microsoft-com:office:smarttags" w:element="metricconverter">
              <w:smartTagPr>
                <w:attr w:name="ProductID" w:val="3C"/>
              </w:smartTagPr>
              <w:r w:rsidRPr="000C22E0">
                <w:rPr>
                  <w:sz w:val="22"/>
                  <w:szCs w:val="22"/>
                </w:rPr>
                <w:t>3C</w:t>
              </w:r>
            </w:smartTag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0C22E0" w:rsidRPr="000C22E0" w:rsidRDefault="000C22E0" w:rsidP="000C22E0">
            <w:pPr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B1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B21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B22ca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0C22E0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 xml:space="preserve">II </w:t>
            </w:r>
            <w:proofErr w:type="spellStart"/>
            <w:r w:rsidRPr="000C22E0">
              <w:rPr>
                <w:sz w:val="22"/>
                <w:szCs w:val="22"/>
                <w:lang w:val="es-ES_tradnl"/>
              </w:rPr>
              <w:t>Ccag</w:t>
            </w:r>
            <w:proofErr w:type="spellEnd"/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Profundidad (cm)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2-10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11-18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19-29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38-55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65-85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88-103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118-132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145-15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  <w:proofErr w:type="spellStart"/>
            <w:r w:rsidRPr="000C22E0">
              <w:rPr>
                <w:sz w:val="22"/>
                <w:szCs w:val="22"/>
              </w:rPr>
              <w:t>Mat.orgánica</w:t>
            </w:r>
            <w:proofErr w:type="spellEnd"/>
            <w:r w:rsidRPr="000C22E0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5,12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4,15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2,64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2,07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0,77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0,33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0,80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0,33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0C22E0" w:rsidRPr="000C22E0" w:rsidRDefault="000C22E0" w:rsidP="000C22E0">
            <w:pPr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C (%)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3,32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2,41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1,53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1,20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0,44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0,19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0,23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0,14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0C22E0" w:rsidRPr="000C22E0" w:rsidRDefault="000C22E0" w:rsidP="000C22E0">
            <w:pPr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0,22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0,16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0,12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0,08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0,05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0,02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0,02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0,02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6" w:space="0" w:color="auto"/>
            </w:tcBorders>
          </w:tcPr>
          <w:p w:rsidR="000C22E0" w:rsidRPr="000C22E0" w:rsidRDefault="000C22E0" w:rsidP="000C22E0">
            <w:pPr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708" w:type="dxa"/>
            <w:tcBorders>
              <w:bottom w:val="single" w:sz="6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9,5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11,5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9,5</w:t>
            </w:r>
          </w:p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0C22E0" w:rsidRPr="000C22E0" w:rsidRDefault="000C22E0" w:rsidP="000C22E0">
            <w:pPr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 xml:space="preserve">T                             </w:t>
            </w:r>
          </w:p>
        </w:tc>
        <w:tc>
          <w:tcPr>
            <w:tcW w:w="1430" w:type="dxa"/>
            <w:gridSpan w:val="2"/>
          </w:tcPr>
          <w:p w:rsidR="000C22E0" w:rsidRPr="000C22E0" w:rsidRDefault="000C22E0" w:rsidP="000C22E0">
            <w:pPr>
              <w:jc w:val="right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 xml:space="preserve">&lt;2 </w:t>
            </w:r>
            <w:r w:rsidRPr="000C22E0">
              <w:rPr>
                <w:sz w:val="22"/>
                <w:szCs w:val="22"/>
              </w:rPr>
              <w:t>µ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22,35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26,34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40,34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45,91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39,95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38,26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37,12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40,70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 xml:space="preserve">E                           </w:t>
            </w:r>
          </w:p>
        </w:tc>
        <w:tc>
          <w:tcPr>
            <w:tcW w:w="1430" w:type="dxa"/>
            <w:gridSpan w:val="2"/>
          </w:tcPr>
          <w:p w:rsidR="000C22E0" w:rsidRPr="000C22E0" w:rsidRDefault="000C22E0" w:rsidP="000C22E0">
            <w:pPr>
              <w:jc w:val="right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2-20 µ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40,11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40,18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32,63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35,08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30,06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32,52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33,55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35,82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 xml:space="preserve">X                         </w:t>
            </w:r>
          </w:p>
        </w:tc>
        <w:tc>
          <w:tcPr>
            <w:tcW w:w="1430" w:type="dxa"/>
            <w:gridSpan w:val="2"/>
          </w:tcPr>
          <w:p w:rsidR="000C22E0" w:rsidRPr="000C22E0" w:rsidRDefault="000C22E0" w:rsidP="000C22E0">
            <w:pPr>
              <w:jc w:val="right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20-50 µ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36,33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32,20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26,19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18,92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29,57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28,89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29,04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23,73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 xml:space="preserve">T                       </w:t>
            </w:r>
          </w:p>
        </w:tc>
        <w:tc>
          <w:tcPr>
            <w:tcW w:w="1430" w:type="dxa"/>
            <w:gridSpan w:val="2"/>
          </w:tcPr>
          <w:p w:rsidR="000C22E0" w:rsidRPr="000C22E0" w:rsidRDefault="000C22E0" w:rsidP="000C22E0">
            <w:pPr>
              <w:jc w:val="right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50-100 µ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0,48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0,51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0,35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0,28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0,21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0,17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0,16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0,12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 xml:space="preserve">U                     </w:t>
            </w:r>
          </w:p>
        </w:tc>
        <w:tc>
          <w:tcPr>
            <w:tcW w:w="1430" w:type="dxa"/>
            <w:gridSpan w:val="2"/>
          </w:tcPr>
          <w:p w:rsidR="000C22E0" w:rsidRPr="000C22E0" w:rsidRDefault="000C22E0" w:rsidP="000C22E0">
            <w:pPr>
              <w:jc w:val="right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100-250 µ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0,71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0,76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0,31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0,31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0,25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0,16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0,13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0,12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 xml:space="preserve">R                     </w:t>
            </w:r>
          </w:p>
        </w:tc>
        <w:tc>
          <w:tcPr>
            <w:tcW w:w="1430" w:type="dxa"/>
            <w:gridSpan w:val="2"/>
          </w:tcPr>
          <w:p w:rsidR="000C22E0" w:rsidRPr="000C22E0" w:rsidRDefault="000C22E0" w:rsidP="000C22E0">
            <w:pPr>
              <w:jc w:val="right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250-500 µ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0,71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0,76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0,31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0,31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0,25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0,16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0,13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0,12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429" w:type="dxa"/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 xml:space="preserve">A                   </w:t>
            </w:r>
          </w:p>
        </w:tc>
        <w:tc>
          <w:tcPr>
            <w:tcW w:w="1430" w:type="dxa"/>
            <w:gridSpan w:val="2"/>
          </w:tcPr>
          <w:p w:rsidR="000C22E0" w:rsidRPr="000C22E0" w:rsidRDefault="000C22E0" w:rsidP="000C22E0">
            <w:pPr>
              <w:jc w:val="right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500-1000 µ</w:t>
            </w:r>
            <w:bookmarkStart w:id="0" w:name="_GoBack"/>
            <w:bookmarkEnd w:id="0"/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0,02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0,01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-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-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-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7,21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7,89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8,38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4,48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0C22E0" w:rsidRPr="000C22E0" w:rsidRDefault="000C22E0" w:rsidP="000C22E0">
            <w:pPr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% Saturación de Agua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0C22E0" w:rsidRPr="000C22E0" w:rsidRDefault="000C22E0" w:rsidP="000C22E0">
            <w:pPr>
              <w:rPr>
                <w:sz w:val="22"/>
                <w:szCs w:val="22"/>
                <w:lang w:val="es-ES_tradnl"/>
              </w:rPr>
            </w:pPr>
            <w:r w:rsidRPr="000C22E0">
              <w:rPr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5,5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5,7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6,1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7,1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8,0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8,1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8,1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8,1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 xml:space="preserve">pH en </w:t>
            </w:r>
            <w:proofErr w:type="spellStart"/>
            <w:r w:rsidRPr="000C22E0">
              <w:rPr>
                <w:sz w:val="22"/>
                <w:szCs w:val="22"/>
              </w:rPr>
              <w:t>ClK</w:t>
            </w:r>
            <w:proofErr w:type="spellEnd"/>
            <w:r w:rsidRPr="000C22E0">
              <w:rPr>
                <w:sz w:val="22"/>
                <w:szCs w:val="22"/>
              </w:rPr>
              <w:t xml:space="preserve"> (1:2,5)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5,0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5,1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5,3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6,1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7,2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7,2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7,2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7,1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Conductividad (</w:t>
            </w:r>
            <w:proofErr w:type="spellStart"/>
            <w:r w:rsidRPr="000C22E0">
              <w:rPr>
                <w:sz w:val="22"/>
                <w:szCs w:val="22"/>
              </w:rPr>
              <w:t>mmhos</w:t>
            </w:r>
            <w:proofErr w:type="spellEnd"/>
            <w:r w:rsidRPr="000C22E0">
              <w:rPr>
                <w:sz w:val="22"/>
                <w:szCs w:val="22"/>
              </w:rPr>
              <w:t>/cm)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0C22E0" w:rsidRPr="000C22E0" w:rsidRDefault="000C22E0" w:rsidP="000C22E0">
            <w:pPr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 xml:space="preserve">Sales </w:t>
            </w:r>
            <w:proofErr w:type="spellStart"/>
            <w:r w:rsidRPr="000C22E0">
              <w:rPr>
                <w:sz w:val="22"/>
                <w:szCs w:val="22"/>
                <w:lang w:val="en-US"/>
              </w:rPr>
              <w:t>solubles</w:t>
            </w:r>
            <w:proofErr w:type="spellEnd"/>
            <w:r w:rsidRPr="000C22E0">
              <w:rPr>
                <w:sz w:val="22"/>
                <w:szCs w:val="22"/>
                <w:lang w:val="en-US"/>
              </w:rPr>
              <w:t xml:space="preserve"> grs (%)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Resistencia en pasta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 w:val="restart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Cationes de cambio</w:t>
            </w:r>
          </w:p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proofErr w:type="spellStart"/>
            <w:r w:rsidRPr="000C22E0">
              <w:rPr>
                <w:sz w:val="22"/>
                <w:szCs w:val="22"/>
              </w:rPr>
              <w:t>m.e</w:t>
            </w:r>
            <w:proofErr w:type="spellEnd"/>
            <w:r w:rsidRPr="000C22E0">
              <w:rPr>
                <w:sz w:val="22"/>
                <w:szCs w:val="22"/>
              </w:rPr>
              <w:t>./100 gr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</w:tcBorders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Ca ++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15,74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14,63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23,89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ND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ND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ND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ND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ND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/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Mg ++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1,20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3,33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5,55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ND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ND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ND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ND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ND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1630" w:type="dxa"/>
            <w:gridSpan w:val="2"/>
            <w:vMerge/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  <w:proofErr w:type="spellStart"/>
            <w:r w:rsidRPr="000C22E0">
              <w:rPr>
                <w:sz w:val="22"/>
                <w:szCs w:val="22"/>
              </w:rPr>
              <w:t>Na</w:t>
            </w:r>
            <w:proofErr w:type="spellEnd"/>
            <w:r w:rsidRPr="000C22E0">
              <w:rPr>
                <w:sz w:val="22"/>
                <w:szCs w:val="22"/>
              </w:rPr>
              <w:t xml:space="preserve"> ++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0,68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0,82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1,20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1,35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1,2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ND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ND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ND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rPr>
          <w:cantSplit/>
          <w:trHeight w:val="160"/>
        </w:trPr>
        <w:tc>
          <w:tcPr>
            <w:tcW w:w="1630" w:type="dxa"/>
            <w:gridSpan w:val="2"/>
            <w:vMerge/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K ++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</w:rPr>
              <w:t>0,</w:t>
            </w:r>
            <w:r w:rsidRPr="000C22E0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0,17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0,12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0,14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0,14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ND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0C22E0" w:rsidRPr="000C22E0" w:rsidRDefault="000C22E0" w:rsidP="000C22E0">
            <w:pPr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Valor S (</w:t>
            </w:r>
            <w:proofErr w:type="spellStart"/>
            <w:r w:rsidRPr="000C22E0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0C22E0">
              <w:rPr>
                <w:sz w:val="22"/>
                <w:szCs w:val="22"/>
                <w:lang w:val="pt-BR"/>
              </w:rPr>
              <w:t xml:space="preserve">./ 100 </w:t>
            </w:r>
            <w:proofErr w:type="spellStart"/>
            <w:proofErr w:type="gramStart"/>
            <w:r w:rsidRPr="000C22E0">
              <w:rPr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0C22E0">
              <w:rPr>
                <w:sz w:val="22"/>
                <w:szCs w:val="22"/>
                <w:lang w:val="pt-BR"/>
              </w:rPr>
              <w:t>)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17,83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18,96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30,76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ND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ND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ND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ND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ND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0C22E0" w:rsidRPr="000C22E0" w:rsidRDefault="000C22E0" w:rsidP="000C22E0">
            <w:pPr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H de cambio (</w:t>
            </w:r>
            <w:proofErr w:type="spellStart"/>
            <w:r w:rsidRPr="000C22E0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0C22E0">
              <w:rPr>
                <w:sz w:val="22"/>
                <w:szCs w:val="22"/>
                <w:lang w:val="pt-BR"/>
              </w:rPr>
              <w:t xml:space="preserve">. / 100 </w:t>
            </w:r>
            <w:proofErr w:type="spellStart"/>
            <w:proofErr w:type="gramStart"/>
            <w:r w:rsidRPr="000C22E0">
              <w:rPr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0C22E0">
              <w:rPr>
                <w:sz w:val="22"/>
                <w:szCs w:val="22"/>
                <w:lang w:val="pt-BR"/>
              </w:rPr>
              <w:t>)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2,71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2,55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1,83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ND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ND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ND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ND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ND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0C22E0" w:rsidRPr="000C22E0" w:rsidRDefault="000C22E0" w:rsidP="000C22E0">
            <w:pPr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0C22E0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0C22E0">
              <w:rPr>
                <w:sz w:val="22"/>
                <w:szCs w:val="22"/>
                <w:lang w:val="pt-BR"/>
              </w:rPr>
              <w:t xml:space="preserve">. / 100 </w:t>
            </w:r>
            <w:proofErr w:type="spellStart"/>
            <w:proofErr w:type="gramStart"/>
            <w:r w:rsidRPr="000C22E0">
              <w:rPr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0C22E0">
              <w:rPr>
                <w:sz w:val="22"/>
                <w:szCs w:val="22"/>
                <w:lang w:val="pt-BR"/>
              </w:rPr>
              <w:t>)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pt-BR"/>
              </w:rPr>
            </w:pPr>
            <w:r w:rsidRPr="000C22E0">
              <w:rPr>
                <w:sz w:val="22"/>
                <w:szCs w:val="22"/>
                <w:lang w:val="pt-BR"/>
              </w:rPr>
              <w:t>20,54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  <w:lang w:val="pt-BR"/>
              </w:rPr>
              <w:t>21,5</w:t>
            </w:r>
            <w:r w:rsidRPr="000C22E0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32,59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46,34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46,34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42,49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43,71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41,43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% de saturación de T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87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88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94</w:t>
            </w: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ND</w:t>
            </w: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ND</w:t>
            </w: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% de saturación de S + H</w:t>
            </w:r>
          </w:p>
        </w:tc>
        <w:tc>
          <w:tcPr>
            <w:tcW w:w="708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 xml:space="preserve">% </w:t>
            </w:r>
            <w:proofErr w:type="spellStart"/>
            <w:r w:rsidRPr="000C22E0">
              <w:rPr>
                <w:sz w:val="22"/>
                <w:szCs w:val="22"/>
              </w:rPr>
              <w:t>Na</w:t>
            </w:r>
            <w:proofErr w:type="spellEnd"/>
            <w:r w:rsidRPr="000C22E0">
              <w:rPr>
                <w:sz w:val="22"/>
                <w:szCs w:val="22"/>
              </w:rPr>
              <w:t xml:space="preserve"> / T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3,3</w:t>
            </w:r>
          </w:p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3,8</w:t>
            </w:r>
          </w:p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3,7</w:t>
            </w:r>
          </w:p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2,9</w:t>
            </w:r>
          </w:p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2,6</w:t>
            </w:r>
          </w:p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  <w:r w:rsidRPr="000C22E0">
              <w:rPr>
                <w:sz w:val="22"/>
                <w:szCs w:val="22"/>
              </w:rPr>
              <w:t>-</w:t>
            </w:r>
          </w:p>
          <w:p w:rsidR="000C22E0" w:rsidRPr="000C22E0" w:rsidRDefault="000C22E0" w:rsidP="000C22E0">
            <w:pPr>
              <w:jc w:val="center"/>
              <w:rPr>
                <w:sz w:val="22"/>
                <w:szCs w:val="22"/>
              </w:rPr>
            </w:pPr>
          </w:p>
        </w:tc>
      </w:tr>
      <w:tr w:rsidR="000C22E0" w:rsidRPr="000C22E0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rPr>
                <w:sz w:val="22"/>
                <w:szCs w:val="22"/>
                <w:lang w:val="en-US"/>
              </w:rPr>
            </w:pPr>
            <w:proofErr w:type="spellStart"/>
            <w:r w:rsidRPr="000C22E0">
              <w:rPr>
                <w:sz w:val="22"/>
                <w:szCs w:val="22"/>
                <w:lang w:val="en-US"/>
              </w:rPr>
              <w:t>Fósforo</w:t>
            </w:r>
            <w:proofErr w:type="spellEnd"/>
            <w:r w:rsidRPr="000C22E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22E0">
              <w:rPr>
                <w:sz w:val="22"/>
                <w:szCs w:val="22"/>
                <w:lang w:val="en-US"/>
              </w:rPr>
              <w:t>asimilable</w:t>
            </w:r>
            <w:proofErr w:type="spellEnd"/>
            <w:r w:rsidRPr="000C22E0">
              <w:rPr>
                <w:sz w:val="22"/>
                <w:szCs w:val="22"/>
                <w:lang w:val="en-US"/>
              </w:rPr>
              <w:t xml:space="preserve"> ppm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9,8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2,5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2,7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1,3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2,7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C22E0" w:rsidRPr="000C22E0" w:rsidRDefault="000C22E0" w:rsidP="000C22E0">
            <w:pPr>
              <w:jc w:val="center"/>
              <w:rPr>
                <w:sz w:val="22"/>
                <w:szCs w:val="22"/>
                <w:lang w:val="en-US"/>
              </w:rPr>
            </w:pPr>
            <w:r w:rsidRPr="000C22E0">
              <w:rPr>
                <w:sz w:val="22"/>
                <w:szCs w:val="22"/>
                <w:lang w:val="en-US"/>
              </w:rPr>
              <w:t>-</w:t>
            </w:r>
          </w:p>
        </w:tc>
      </w:tr>
    </w:tbl>
    <w:p w:rsidR="005C6BD1" w:rsidRPr="000C22E0" w:rsidRDefault="005C6BD1" w:rsidP="000C22E0">
      <w:pPr>
        <w:rPr>
          <w:sz w:val="22"/>
          <w:szCs w:val="22"/>
        </w:rPr>
      </w:pPr>
    </w:p>
    <w:sectPr w:rsidR="005C6BD1" w:rsidRPr="000C22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2E0"/>
    <w:rsid w:val="000C22E0"/>
    <w:rsid w:val="005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2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C22E0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0C22E0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C22E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C22E0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0C22E0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0C22E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0C22E0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0C22E0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2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C22E0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0C22E0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C22E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C22E0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0C22E0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0C22E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0C22E0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0C22E0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1052</Words>
  <Characters>5787</Characters>
  <Application>Microsoft Office Word</Application>
  <DocSecurity>0</DocSecurity>
  <Lines>48</Lines>
  <Paragraphs>13</Paragraphs>
  <ScaleCrop>false</ScaleCrop>
  <Company/>
  <LinksUpToDate>false</LinksUpToDate>
  <CharactersWithSpaces>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2014-01-28T15:08:00Z</dcterms:created>
  <dcterms:modified xsi:type="dcterms:W3CDTF">2014-01-28T15:11:00Z</dcterms:modified>
</cp:coreProperties>
</file>