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28" w:rsidRPr="00AB4F28" w:rsidRDefault="00AB4F28" w:rsidP="00AB4F28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n-US"/>
        </w:rPr>
      </w:pPr>
    </w:p>
    <w:p w:rsidR="00AB4F28" w:rsidRPr="00AB4F28" w:rsidRDefault="00AB4F28" w:rsidP="00AB4F2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</w:rPr>
      </w:pPr>
      <w:r w:rsidRPr="00AB4F28">
        <w:rPr>
          <w:b/>
          <w:szCs w:val="24"/>
        </w:rPr>
        <w:t>SERIE COLONIA SANTA JUANA</w:t>
      </w:r>
      <w:r w:rsidRPr="00AB4F28">
        <w:rPr>
          <w:b/>
          <w:szCs w:val="24"/>
        </w:rPr>
        <w:tab/>
      </w:r>
      <w:r w:rsidRPr="00AB4F28">
        <w:rPr>
          <w:b/>
          <w:szCs w:val="24"/>
        </w:rPr>
        <w:tab/>
      </w:r>
      <w:r w:rsidRPr="00AB4F28">
        <w:rPr>
          <w:b/>
          <w:szCs w:val="24"/>
        </w:rPr>
        <w:tab/>
      </w:r>
      <w:r w:rsidRPr="00AB4F28">
        <w:rPr>
          <w:b/>
          <w:szCs w:val="24"/>
        </w:rPr>
        <w:tab/>
      </w:r>
      <w:r w:rsidRPr="00AB4F28">
        <w:rPr>
          <w:b/>
          <w:szCs w:val="24"/>
        </w:rPr>
        <w:tab/>
      </w:r>
      <w:r>
        <w:rPr>
          <w:b/>
          <w:szCs w:val="24"/>
        </w:rPr>
        <w:t xml:space="preserve">      </w:t>
      </w:r>
      <w:r w:rsidRPr="00AB4F28">
        <w:rPr>
          <w:szCs w:val="24"/>
        </w:rPr>
        <w:t xml:space="preserve">Símbolo: </w:t>
      </w:r>
      <w:proofErr w:type="spellStart"/>
      <w:r w:rsidRPr="00AB4F28">
        <w:rPr>
          <w:b/>
          <w:szCs w:val="24"/>
        </w:rPr>
        <w:t>CJu</w:t>
      </w:r>
      <w:proofErr w:type="spellEnd"/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sz w:val="22"/>
          <w:szCs w:val="22"/>
        </w:rPr>
        <w:t xml:space="preserve">Pertenece a la familia fina, </w:t>
      </w:r>
      <w:proofErr w:type="spellStart"/>
      <w:r w:rsidRPr="00AB4F28">
        <w:rPr>
          <w:sz w:val="22"/>
          <w:szCs w:val="22"/>
        </w:rPr>
        <w:t>montmorillonítica</w:t>
      </w:r>
      <w:proofErr w:type="spellEnd"/>
      <w:r w:rsidRPr="00AB4F28">
        <w:rPr>
          <w:sz w:val="22"/>
          <w:szCs w:val="22"/>
        </w:rPr>
        <w:t xml:space="preserve">, térmica de los </w:t>
      </w:r>
      <w:proofErr w:type="spellStart"/>
      <w:r w:rsidRPr="00AB4F28">
        <w:rPr>
          <w:sz w:val="22"/>
          <w:szCs w:val="22"/>
          <w:u w:val="single"/>
        </w:rPr>
        <w:t>Argiacuoles</w:t>
      </w:r>
      <w:proofErr w:type="spellEnd"/>
      <w:r w:rsidRPr="00AB4F28">
        <w:rPr>
          <w:sz w:val="22"/>
          <w:szCs w:val="22"/>
          <w:u w:val="single"/>
        </w:rPr>
        <w:t xml:space="preserve"> </w:t>
      </w:r>
      <w:proofErr w:type="spellStart"/>
      <w:r w:rsidRPr="00AB4F28">
        <w:rPr>
          <w:sz w:val="22"/>
          <w:szCs w:val="22"/>
          <w:u w:val="single"/>
        </w:rPr>
        <w:t>vérticos</w:t>
      </w:r>
      <w:proofErr w:type="spellEnd"/>
      <w:r w:rsidRPr="00AB4F28">
        <w:rPr>
          <w:sz w:val="22"/>
          <w:szCs w:val="22"/>
        </w:rPr>
        <w:t>.</w:t>
      </w: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sz w:val="22"/>
          <w:szCs w:val="22"/>
        </w:rPr>
        <w:t xml:space="preserve">Poseen un </w:t>
      </w:r>
      <w:proofErr w:type="spellStart"/>
      <w:r w:rsidRPr="00AB4F28">
        <w:rPr>
          <w:sz w:val="22"/>
          <w:szCs w:val="22"/>
        </w:rPr>
        <w:t>epipedón</w:t>
      </w:r>
      <w:proofErr w:type="spellEnd"/>
      <w:r w:rsidRPr="00AB4F28">
        <w:rPr>
          <w:sz w:val="22"/>
          <w:szCs w:val="22"/>
        </w:rPr>
        <w:t xml:space="preserve"> oscuro, franco a franco arcilloso, friable con espesores que oscilan entre 15 y </w:t>
      </w:r>
      <w:smartTag w:uri="urn:schemas-microsoft-com:office:smarttags" w:element="metricconverter">
        <w:smartTagPr>
          <w:attr w:name="ProductID" w:val="25 cm"/>
        </w:smartTagPr>
        <w:r w:rsidRPr="00AB4F28">
          <w:rPr>
            <w:sz w:val="22"/>
            <w:szCs w:val="22"/>
          </w:rPr>
          <w:t>25 cm</w:t>
        </w:r>
      </w:smartTag>
      <w:r w:rsidRPr="00AB4F28">
        <w:rPr>
          <w:sz w:val="22"/>
          <w:szCs w:val="22"/>
        </w:rPr>
        <w:t xml:space="preserve">, aunque se estudiaron perfiles con horizonte A de </w:t>
      </w:r>
      <w:smartTag w:uri="urn:schemas-microsoft-com:office:smarttags" w:element="metricconverter">
        <w:smartTagPr>
          <w:attr w:name="ProductID" w:val="35 cm"/>
        </w:smartTagPr>
        <w:r w:rsidRPr="00AB4F28">
          <w:rPr>
            <w:sz w:val="22"/>
            <w:szCs w:val="22"/>
          </w:rPr>
          <w:t>35 cm</w:t>
        </w:r>
      </w:smartTag>
      <w:r w:rsidRPr="00AB4F28">
        <w:rPr>
          <w:sz w:val="22"/>
          <w:szCs w:val="22"/>
        </w:rPr>
        <w:t xml:space="preserve"> o más de profundidad.</w:t>
      </w: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sz w:val="22"/>
          <w:szCs w:val="22"/>
        </w:rPr>
        <w:t>Abruptamente se pasa  al horizonte B2, con estructura prismática; textura franco arcillosa a franco arcillo limosa; oscuro; con caras de fricción (</w:t>
      </w:r>
      <w:proofErr w:type="spellStart"/>
      <w:r w:rsidRPr="00AB4F28">
        <w:rPr>
          <w:sz w:val="22"/>
          <w:szCs w:val="22"/>
        </w:rPr>
        <w:t>slickensides</w:t>
      </w:r>
      <w:proofErr w:type="spellEnd"/>
      <w:r w:rsidRPr="00AB4F28">
        <w:rPr>
          <w:sz w:val="22"/>
          <w:szCs w:val="22"/>
        </w:rPr>
        <w:t xml:space="preserve">) y grietas cuando seco. El espesor de estos horizontes varía entre 45 – </w:t>
      </w:r>
      <w:smartTag w:uri="urn:schemas-microsoft-com:office:smarttags" w:element="metricconverter">
        <w:smartTagPr>
          <w:attr w:name="ProductID" w:val="50 cm"/>
        </w:smartTagPr>
        <w:r w:rsidRPr="00AB4F28">
          <w:rPr>
            <w:sz w:val="22"/>
            <w:szCs w:val="22"/>
          </w:rPr>
          <w:t>50 cm</w:t>
        </w:r>
      </w:smartTag>
      <w:r w:rsidRPr="00AB4F28">
        <w:rPr>
          <w:sz w:val="22"/>
          <w:szCs w:val="22"/>
        </w:rPr>
        <w:t>.</w:t>
      </w: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sz w:val="22"/>
          <w:szCs w:val="22"/>
        </w:rPr>
        <w:t xml:space="preserve">El calcáreo en forma de concreciones, en algunos perfiles es muy abundante. En los horizontes transicionales B3 aparece a los 50 – </w:t>
      </w:r>
      <w:smartTag w:uri="urn:schemas-microsoft-com:office:smarttags" w:element="metricconverter">
        <w:smartTagPr>
          <w:attr w:name="ProductID" w:val="60 cm"/>
        </w:smartTagPr>
        <w:r w:rsidRPr="00AB4F28">
          <w:rPr>
            <w:sz w:val="22"/>
            <w:szCs w:val="22"/>
          </w:rPr>
          <w:t>60 cm</w:t>
        </w:r>
      </w:smartTag>
      <w:r w:rsidRPr="00AB4F28">
        <w:rPr>
          <w:sz w:val="22"/>
          <w:szCs w:val="22"/>
        </w:rPr>
        <w:t xml:space="preserve"> de profundidad.</w:t>
      </w: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sz w:val="22"/>
          <w:szCs w:val="22"/>
        </w:rPr>
        <w:t xml:space="preserve">Las concreciones </w:t>
      </w:r>
      <w:proofErr w:type="spellStart"/>
      <w:r w:rsidRPr="00AB4F28">
        <w:rPr>
          <w:sz w:val="22"/>
          <w:szCs w:val="22"/>
        </w:rPr>
        <w:t>ferromanganesíferas</w:t>
      </w:r>
      <w:proofErr w:type="spellEnd"/>
      <w:r w:rsidRPr="00AB4F28">
        <w:rPr>
          <w:sz w:val="22"/>
          <w:szCs w:val="22"/>
        </w:rPr>
        <w:t xml:space="preserve">, son características en los suelos de esta serie; su presencia ocurre desde la superficie y, a  veces, en abundante cantidad, También es característica la disminución del porcentaje de arena en profundidad. </w:t>
      </w: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sz w:val="22"/>
          <w:szCs w:val="22"/>
        </w:rPr>
        <w:t xml:space="preserve">Es común hallar cantos rodados finos entre los 40 – </w:t>
      </w:r>
      <w:smartTag w:uri="urn:schemas-microsoft-com:office:smarttags" w:element="metricconverter">
        <w:smartTagPr>
          <w:attr w:name="ProductID" w:val="60 cm"/>
        </w:smartTagPr>
        <w:r w:rsidRPr="00AB4F28">
          <w:rPr>
            <w:sz w:val="22"/>
            <w:szCs w:val="22"/>
          </w:rPr>
          <w:t>60 cm</w:t>
        </w:r>
      </w:smartTag>
      <w:r w:rsidRPr="00AB4F28">
        <w:rPr>
          <w:sz w:val="22"/>
          <w:szCs w:val="22"/>
        </w:rPr>
        <w:t xml:space="preserve"> de profundidad.</w:t>
      </w: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sz w:val="22"/>
          <w:szCs w:val="22"/>
        </w:rPr>
        <w:t xml:space="preserve">El material madre de esta serie está constituido por una mezcla de sedimentos típicos de los que generaron los </w:t>
      </w:r>
      <w:proofErr w:type="spellStart"/>
      <w:r w:rsidRPr="00AB4F28">
        <w:rPr>
          <w:sz w:val="22"/>
          <w:szCs w:val="22"/>
        </w:rPr>
        <w:t>vertisoles</w:t>
      </w:r>
      <w:proofErr w:type="spellEnd"/>
      <w:r w:rsidRPr="00AB4F28">
        <w:rPr>
          <w:sz w:val="22"/>
          <w:szCs w:val="22"/>
        </w:rPr>
        <w:t xml:space="preserve"> del área, con aporte de arenas características de las terrazas fluviales del río Uruguay.</w:t>
      </w: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b/>
          <w:sz w:val="22"/>
          <w:szCs w:val="22"/>
        </w:rPr>
        <w:t>Perfil tipo:</w:t>
      </w:r>
      <w:r w:rsidRPr="00AB4F28">
        <w:rPr>
          <w:sz w:val="22"/>
          <w:szCs w:val="22"/>
        </w:rPr>
        <w:t xml:space="preserve"> ER3 – </w:t>
      </w:r>
      <w:smartTag w:uri="urn:schemas-microsoft-com:office:smarttags" w:element="metricconverter">
        <w:smartTagPr>
          <w:attr w:name="ProductID" w:val="49C"/>
        </w:smartTagPr>
        <w:r w:rsidRPr="00AB4F28">
          <w:rPr>
            <w:sz w:val="22"/>
            <w:szCs w:val="22"/>
          </w:rPr>
          <w:t>49C</w:t>
        </w:r>
      </w:smartTag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b/>
          <w:sz w:val="22"/>
          <w:szCs w:val="22"/>
        </w:rPr>
        <w:t>Ubicación:</w:t>
      </w:r>
      <w:r w:rsidRPr="00AB4F28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38 Km"/>
        </w:smartTagPr>
        <w:r w:rsidRPr="00AB4F28">
          <w:rPr>
            <w:sz w:val="22"/>
            <w:szCs w:val="22"/>
          </w:rPr>
          <w:t>38 Km</w:t>
        </w:r>
      </w:smartTag>
      <w:r w:rsidRPr="00AB4F28">
        <w:rPr>
          <w:sz w:val="22"/>
          <w:szCs w:val="22"/>
        </w:rPr>
        <w:t xml:space="preserve"> al SE de San Jaime.</w:t>
      </w: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b/>
          <w:bCs/>
          <w:sz w:val="22"/>
          <w:szCs w:val="22"/>
        </w:rPr>
        <w:t>Reconocedores:</w:t>
      </w:r>
      <w:r w:rsidRPr="00AB4F28">
        <w:rPr>
          <w:sz w:val="22"/>
          <w:szCs w:val="22"/>
        </w:rPr>
        <w:t xml:space="preserve"> </w:t>
      </w:r>
      <w:r w:rsidRPr="00AB4F28">
        <w:rPr>
          <w:spacing w:val="-1"/>
          <w:sz w:val="22"/>
          <w:szCs w:val="22"/>
        </w:rPr>
        <w:t xml:space="preserve">R.E. </w:t>
      </w:r>
      <w:proofErr w:type="spellStart"/>
      <w:r w:rsidRPr="00AB4F28">
        <w:rPr>
          <w:spacing w:val="-1"/>
          <w:sz w:val="22"/>
          <w:szCs w:val="22"/>
        </w:rPr>
        <w:t>Kleinerman</w:t>
      </w:r>
      <w:proofErr w:type="spellEnd"/>
      <w:r w:rsidRPr="00AB4F28">
        <w:rPr>
          <w:sz w:val="22"/>
          <w:szCs w:val="22"/>
        </w:rPr>
        <w:t>; L.O. López</w:t>
      </w: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AB4F28" w:rsidRPr="00AB4F28" w:rsidRDefault="00AB4F28" w:rsidP="00AB4F28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b/>
          <w:sz w:val="22"/>
          <w:szCs w:val="22"/>
        </w:rPr>
        <w:t>A1</w:t>
      </w:r>
      <w:r w:rsidRPr="00AB4F2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B4F28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AB4F28">
        <w:rPr>
          <w:sz w:val="22"/>
          <w:szCs w:val="22"/>
        </w:rPr>
        <w:t xml:space="preserve">20 cm; pardo grisáceo muy oscuro (10 YR 3/2) en húmedo, gris (10 YR 5/1) en seco; franco; estructura en bloques </w:t>
      </w:r>
      <w:proofErr w:type="spellStart"/>
      <w:r w:rsidRPr="00AB4F28">
        <w:rPr>
          <w:sz w:val="22"/>
          <w:szCs w:val="22"/>
        </w:rPr>
        <w:t>subangulares</w:t>
      </w:r>
      <w:proofErr w:type="spellEnd"/>
      <w:r w:rsidRPr="00AB4F28">
        <w:rPr>
          <w:sz w:val="22"/>
          <w:szCs w:val="22"/>
        </w:rPr>
        <w:t xml:space="preserve"> y algo de estructura </w:t>
      </w:r>
      <w:proofErr w:type="spellStart"/>
      <w:r w:rsidRPr="00AB4F28">
        <w:rPr>
          <w:sz w:val="22"/>
          <w:szCs w:val="22"/>
        </w:rPr>
        <w:t>subangular</w:t>
      </w:r>
      <w:proofErr w:type="spellEnd"/>
      <w:r w:rsidRPr="00AB4F28">
        <w:rPr>
          <w:sz w:val="22"/>
          <w:szCs w:val="22"/>
        </w:rPr>
        <w:t>; medios moderados; duro en seco; friable en húmedo; barnices (“</w:t>
      </w:r>
      <w:proofErr w:type="spellStart"/>
      <w:r w:rsidRPr="00AB4F28">
        <w:rPr>
          <w:sz w:val="22"/>
          <w:szCs w:val="22"/>
        </w:rPr>
        <w:t>humic</w:t>
      </w:r>
      <w:proofErr w:type="spellEnd"/>
      <w:r w:rsidRPr="00AB4F28">
        <w:rPr>
          <w:sz w:val="22"/>
          <w:szCs w:val="22"/>
        </w:rPr>
        <w:t xml:space="preserve"> </w:t>
      </w:r>
      <w:proofErr w:type="spellStart"/>
      <w:r w:rsidRPr="00AB4F28">
        <w:rPr>
          <w:sz w:val="22"/>
          <w:szCs w:val="22"/>
        </w:rPr>
        <w:t>skins</w:t>
      </w:r>
      <w:proofErr w:type="spellEnd"/>
      <w:r w:rsidRPr="00AB4F28">
        <w:rPr>
          <w:sz w:val="22"/>
          <w:szCs w:val="22"/>
        </w:rPr>
        <w:t xml:space="preserve">”) escasos, finos; concreciones de hierro y manganeso comunes de hasta </w:t>
      </w:r>
      <w:smartTag w:uri="urn:schemas-microsoft-com:office:smarttags" w:element="metricconverter">
        <w:smartTagPr>
          <w:attr w:name="ProductID" w:val="1 mm"/>
        </w:smartTagPr>
        <w:r w:rsidRPr="00AB4F28">
          <w:rPr>
            <w:sz w:val="22"/>
            <w:szCs w:val="22"/>
          </w:rPr>
          <w:t>1 mm</w:t>
        </w:r>
      </w:smartTag>
      <w:r w:rsidRPr="00AB4F28">
        <w:rPr>
          <w:sz w:val="22"/>
          <w:szCs w:val="22"/>
        </w:rPr>
        <w:t xml:space="preserve"> de diámetro; vestigios de moteados; límite abrupto, suave.</w:t>
      </w:r>
    </w:p>
    <w:p w:rsidR="00AB4F28" w:rsidRPr="00AB4F28" w:rsidRDefault="00AB4F28" w:rsidP="00AB4F28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AB4F28" w:rsidRPr="00AB4F28" w:rsidRDefault="00AB4F28" w:rsidP="00AB4F28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b/>
          <w:sz w:val="22"/>
          <w:szCs w:val="22"/>
        </w:rPr>
        <w:t>IIB21</w:t>
      </w:r>
      <w:r w:rsidRPr="00AB4F2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B4F28">
        <w:rPr>
          <w:sz w:val="22"/>
          <w:szCs w:val="22"/>
        </w:rPr>
        <w:t>20</w:t>
      </w:r>
      <w:r>
        <w:rPr>
          <w:sz w:val="22"/>
          <w:szCs w:val="22"/>
        </w:rPr>
        <w:t>-</w:t>
      </w:r>
      <w:r w:rsidRPr="00AB4F28">
        <w:rPr>
          <w:sz w:val="22"/>
          <w:szCs w:val="22"/>
        </w:rPr>
        <w:t>38 cm; negro (10 YR 2,5/1) en húmedo; franco arcilloso; estructura de prismas compuestos irregulares medios, moderados que rompen en bloques angulares irregulares medios moderados; firme en húmedo; barnices (“</w:t>
      </w:r>
      <w:proofErr w:type="spellStart"/>
      <w:r w:rsidRPr="00AB4F28">
        <w:rPr>
          <w:sz w:val="22"/>
          <w:szCs w:val="22"/>
        </w:rPr>
        <w:t>clay</w:t>
      </w:r>
      <w:proofErr w:type="spellEnd"/>
      <w:r w:rsidRPr="00AB4F28">
        <w:rPr>
          <w:sz w:val="22"/>
          <w:szCs w:val="22"/>
        </w:rPr>
        <w:t xml:space="preserve"> </w:t>
      </w:r>
      <w:proofErr w:type="spellStart"/>
      <w:r w:rsidRPr="00AB4F28">
        <w:rPr>
          <w:sz w:val="22"/>
          <w:szCs w:val="22"/>
        </w:rPr>
        <w:t>humic</w:t>
      </w:r>
      <w:proofErr w:type="spellEnd"/>
      <w:r w:rsidRPr="00AB4F28">
        <w:rPr>
          <w:sz w:val="22"/>
          <w:szCs w:val="22"/>
        </w:rPr>
        <w:t xml:space="preserve"> </w:t>
      </w:r>
      <w:proofErr w:type="spellStart"/>
      <w:r w:rsidRPr="00AB4F28">
        <w:rPr>
          <w:sz w:val="22"/>
          <w:szCs w:val="22"/>
        </w:rPr>
        <w:t>skins</w:t>
      </w:r>
      <w:proofErr w:type="spellEnd"/>
      <w:r w:rsidRPr="00AB4F28">
        <w:rPr>
          <w:sz w:val="22"/>
          <w:szCs w:val="22"/>
        </w:rPr>
        <w:t>”) escasos, finos; caras de fricción (“</w:t>
      </w:r>
      <w:proofErr w:type="spellStart"/>
      <w:r w:rsidRPr="00AB4F28">
        <w:rPr>
          <w:sz w:val="22"/>
          <w:szCs w:val="22"/>
        </w:rPr>
        <w:t>slickensides</w:t>
      </w:r>
      <w:proofErr w:type="spellEnd"/>
      <w:r w:rsidRPr="00AB4F28">
        <w:rPr>
          <w:sz w:val="22"/>
          <w:szCs w:val="22"/>
        </w:rPr>
        <w:t>”) comunes finas, poco intersectadas; concreciones de hierro y manganeso comunes; vestigios de moteados; límite claro, suave.</w:t>
      </w:r>
    </w:p>
    <w:p w:rsidR="00AB4F28" w:rsidRPr="00AB4F28" w:rsidRDefault="00AB4F28" w:rsidP="00AB4F28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AB4F28" w:rsidRPr="00AB4F28" w:rsidRDefault="00AB4F28" w:rsidP="00AB4F28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b/>
          <w:sz w:val="22"/>
          <w:szCs w:val="22"/>
        </w:rPr>
        <w:t>IIB22</w:t>
      </w:r>
      <w:r w:rsidRPr="00AB4F2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B4F28">
        <w:rPr>
          <w:sz w:val="22"/>
          <w:szCs w:val="22"/>
        </w:rPr>
        <w:t>38</w:t>
      </w:r>
      <w:r>
        <w:rPr>
          <w:sz w:val="22"/>
          <w:szCs w:val="22"/>
        </w:rPr>
        <w:t>-</w:t>
      </w:r>
      <w:r w:rsidRPr="00AB4F28">
        <w:rPr>
          <w:sz w:val="22"/>
          <w:szCs w:val="22"/>
        </w:rPr>
        <w:t>56 cm; gris muy oscuro (10 YR 3/1) en húmedo; franco arcilloso; estructura en prismas compuestos irregulares medios, moderados que rompen en bloques angulares irregulares y bloques aplanados medios moderados; firme en húmedo; caras de fricción (</w:t>
      </w:r>
      <w:proofErr w:type="spellStart"/>
      <w:r w:rsidRPr="00AB4F28">
        <w:rPr>
          <w:sz w:val="22"/>
          <w:szCs w:val="22"/>
        </w:rPr>
        <w:t>slickensides</w:t>
      </w:r>
      <w:proofErr w:type="spellEnd"/>
      <w:r w:rsidRPr="00AB4F28">
        <w:rPr>
          <w:sz w:val="22"/>
          <w:szCs w:val="22"/>
        </w:rPr>
        <w:t>) comunes, poco intersectadas; concreciones de hierro y manganeso comunes, finas; vestigios de moteados; límite claro, suave.</w:t>
      </w:r>
    </w:p>
    <w:p w:rsidR="00AB4F28" w:rsidRPr="00AB4F28" w:rsidRDefault="00AB4F28" w:rsidP="00AB4F28">
      <w:pPr>
        <w:pStyle w:val="Sangradetextonormal"/>
        <w:tabs>
          <w:tab w:val="left" w:pos="900"/>
        </w:tabs>
        <w:ind w:firstLine="0"/>
        <w:jc w:val="both"/>
        <w:rPr>
          <w:b/>
          <w:sz w:val="22"/>
          <w:szCs w:val="22"/>
        </w:rPr>
      </w:pPr>
    </w:p>
    <w:p w:rsidR="00AB4F28" w:rsidRPr="00AB4F28" w:rsidRDefault="00AB4F28" w:rsidP="00AB4F28">
      <w:pPr>
        <w:pStyle w:val="Sangradetextonormal"/>
        <w:tabs>
          <w:tab w:val="left" w:pos="900"/>
        </w:tabs>
        <w:ind w:firstLine="0"/>
        <w:jc w:val="both"/>
        <w:rPr>
          <w:sz w:val="22"/>
          <w:szCs w:val="22"/>
        </w:rPr>
      </w:pPr>
      <w:r w:rsidRPr="00AB4F28">
        <w:rPr>
          <w:b/>
          <w:sz w:val="22"/>
          <w:szCs w:val="22"/>
        </w:rPr>
        <w:t>IIB31ca</w:t>
      </w:r>
      <w:r w:rsidRPr="00AB4F2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B4F28">
        <w:rPr>
          <w:sz w:val="22"/>
          <w:szCs w:val="22"/>
        </w:rPr>
        <w:t>56</w:t>
      </w:r>
      <w:r>
        <w:rPr>
          <w:sz w:val="22"/>
          <w:szCs w:val="22"/>
        </w:rPr>
        <w:t>-</w:t>
      </w:r>
      <w:r w:rsidRPr="00AB4F28">
        <w:rPr>
          <w:sz w:val="22"/>
          <w:szCs w:val="22"/>
        </w:rPr>
        <w:t>92 cm; gris muy oscuro (10 YR 3/1) en húmedo; franco arcilloso; estructura en bloques angulares irregulares y bloques aplanados medios moderados; muy firme en húmedo; caras de fricción (</w:t>
      </w:r>
      <w:proofErr w:type="spellStart"/>
      <w:r w:rsidRPr="00AB4F28">
        <w:rPr>
          <w:sz w:val="22"/>
          <w:szCs w:val="22"/>
        </w:rPr>
        <w:t>slickensides</w:t>
      </w:r>
      <w:proofErr w:type="spellEnd"/>
      <w:r w:rsidRPr="00AB4F28">
        <w:rPr>
          <w:sz w:val="22"/>
          <w:szCs w:val="22"/>
        </w:rPr>
        <w:t xml:space="preserve">) escasas, finas no intersectadas; concreciones calcáreas comunes abundantes de hasta </w:t>
      </w:r>
      <w:smartTag w:uri="urn:schemas-microsoft-com:office:smarttags" w:element="metricconverter">
        <w:smartTagPr>
          <w:attr w:name="ProductID" w:val="2 mm"/>
        </w:smartTagPr>
        <w:r w:rsidRPr="00AB4F28">
          <w:rPr>
            <w:sz w:val="22"/>
            <w:szCs w:val="22"/>
          </w:rPr>
          <w:t>2 mm</w:t>
        </w:r>
      </w:smartTag>
      <w:r w:rsidRPr="00AB4F28">
        <w:rPr>
          <w:sz w:val="22"/>
          <w:szCs w:val="22"/>
        </w:rPr>
        <w:t xml:space="preserve"> de diámetro; concreciones </w:t>
      </w:r>
      <w:proofErr w:type="spellStart"/>
      <w:r w:rsidRPr="00AB4F28">
        <w:rPr>
          <w:sz w:val="22"/>
          <w:szCs w:val="22"/>
        </w:rPr>
        <w:t>ferromanganesíferas</w:t>
      </w:r>
      <w:proofErr w:type="spellEnd"/>
      <w:r w:rsidRPr="00AB4F28">
        <w:rPr>
          <w:sz w:val="22"/>
          <w:szCs w:val="22"/>
        </w:rPr>
        <w:t xml:space="preserve"> comunes; moteados de hierro y manganeso comunes, finos y precisos; horizonte algo compactado; límite gradual, suave.</w:t>
      </w:r>
    </w:p>
    <w:p w:rsidR="00AB4F28" w:rsidRPr="00AB4F28" w:rsidRDefault="00AB4F28" w:rsidP="00AB4F28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AB4F28" w:rsidRPr="00AB4F28" w:rsidRDefault="00AB4F28" w:rsidP="00AB4F28">
      <w:pPr>
        <w:pStyle w:val="Sangradetextonormal"/>
        <w:tabs>
          <w:tab w:val="left" w:pos="851"/>
          <w:tab w:val="left" w:pos="1440"/>
        </w:tabs>
        <w:ind w:firstLine="0"/>
        <w:jc w:val="both"/>
        <w:rPr>
          <w:sz w:val="22"/>
          <w:szCs w:val="22"/>
        </w:rPr>
      </w:pPr>
      <w:r w:rsidRPr="00AB4F28">
        <w:rPr>
          <w:b/>
          <w:sz w:val="22"/>
          <w:szCs w:val="22"/>
        </w:rPr>
        <w:lastRenderedPageBreak/>
        <w:t>IIB32ca</w:t>
      </w:r>
      <w:r w:rsidRPr="00AB4F2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B4F28">
        <w:rPr>
          <w:sz w:val="22"/>
          <w:szCs w:val="22"/>
        </w:rPr>
        <w:t xml:space="preserve">92 + cm (105); pardo amarillento (10 YR 5/4) en húmedo; franco arcillo limoso; estructura masiva; friable en húmedo; concreciones calcáreas comunes a abundantes y de hierro y manganeso comunes de </w:t>
      </w:r>
      <w:smartTag w:uri="urn:schemas-microsoft-com:office:smarttags" w:element="metricconverter">
        <w:smartTagPr>
          <w:attr w:name="ProductID" w:val="1 mm"/>
        </w:smartTagPr>
        <w:r w:rsidRPr="00AB4F28">
          <w:rPr>
            <w:sz w:val="22"/>
            <w:szCs w:val="22"/>
          </w:rPr>
          <w:t>1 mm</w:t>
        </w:r>
      </w:smartTag>
      <w:r w:rsidRPr="00AB4F28">
        <w:rPr>
          <w:sz w:val="22"/>
          <w:szCs w:val="22"/>
        </w:rPr>
        <w:t xml:space="preserve"> de diámetro; moteados de hierro y manganeso comunes, finos y precisos.</w:t>
      </w: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AB4F28" w:rsidRPr="00AB4F28" w:rsidRDefault="00AB4F28" w:rsidP="00AB4F28">
      <w:pPr>
        <w:pStyle w:val="Textoindependiente"/>
        <w:jc w:val="both"/>
        <w:rPr>
          <w:b/>
          <w:sz w:val="22"/>
          <w:szCs w:val="22"/>
        </w:rPr>
      </w:pPr>
      <w:r w:rsidRPr="00AB4F28">
        <w:rPr>
          <w:b/>
          <w:sz w:val="22"/>
          <w:szCs w:val="22"/>
          <w:u w:val="single"/>
        </w:rPr>
        <w:t>Fases</w:t>
      </w:r>
    </w:p>
    <w:p w:rsidR="00AB4F28" w:rsidRPr="00AB4F28" w:rsidRDefault="00AB4F28" w:rsidP="00AB4F28">
      <w:pPr>
        <w:pStyle w:val="Textoindependiente"/>
        <w:jc w:val="both"/>
        <w:rPr>
          <w:sz w:val="22"/>
          <w:szCs w:val="22"/>
        </w:rPr>
      </w:pPr>
    </w:p>
    <w:p w:rsidR="00AB4F28" w:rsidRPr="00AB4F28" w:rsidRDefault="00AB4F28" w:rsidP="00AB4F28">
      <w:pPr>
        <w:jc w:val="both"/>
        <w:rPr>
          <w:sz w:val="22"/>
          <w:szCs w:val="22"/>
        </w:rPr>
      </w:pPr>
      <w:r w:rsidRPr="00AB4F28">
        <w:rPr>
          <w:sz w:val="22"/>
          <w:szCs w:val="22"/>
        </w:rPr>
        <w:t>No se han descripto a escala de reconocimiento.</w:t>
      </w:r>
    </w:p>
    <w:p w:rsidR="00AB4F28" w:rsidRDefault="00AB4F28" w:rsidP="00AB4F28">
      <w:pPr>
        <w:pStyle w:val="Sangradetextonormal"/>
        <w:tabs>
          <w:tab w:val="left" w:pos="720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</w:p>
    <w:p w:rsidR="00AB4F28" w:rsidRPr="00AB4F28" w:rsidRDefault="00AB4F28" w:rsidP="00AB4F28">
      <w:pPr>
        <w:pStyle w:val="Sangradetextonormal"/>
        <w:tabs>
          <w:tab w:val="left" w:pos="720"/>
          <w:tab w:val="left" w:pos="5954"/>
        </w:tabs>
        <w:ind w:firstLine="0"/>
        <w:jc w:val="both"/>
        <w:rPr>
          <w:sz w:val="22"/>
          <w:szCs w:val="22"/>
        </w:rPr>
      </w:pP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  <w:r w:rsidRPr="00AB4F28">
        <w:rPr>
          <w:b/>
          <w:sz w:val="22"/>
          <w:szCs w:val="22"/>
          <w:u w:val="single"/>
        </w:rPr>
        <w:t>Drenaje</w:t>
      </w: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AB4F28" w:rsidRPr="00AB4F28" w:rsidRDefault="00AB4F28" w:rsidP="00AB4F28">
      <w:pPr>
        <w:pStyle w:val="Sangradetextonormal"/>
        <w:tabs>
          <w:tab w:val="left" w:pos="720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sz w:val="22"/>
          <w:szCs w:val="22"/>
        </w:rPr>
        <w:t>Pobremente drenado. Escurrimiento superficial medio. Permeabilidad lenta. Grupo hidrológico C.</w:t>
      </w:r>
    </w:p>
    <w:p w:rsid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  <w:r w:rsidRPr="00AB4F28">
        <w:rPr>
          <w:b/>
          <w:sz w:val="22"/>
          <w:szCs w:val="22"/>
          <w:u w:val="single"/>
        </w:rPr>
        <w:t>Erosión</w:t>
      </w: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AB4F28" w:rsidRPr="00AB4F28" w:rsidRDefault="00AB4F28" w:rsidP="00AB4F28">
      <w:pPr>
        <w:pStyle w:val="Sangradetextonormal"/>
        <w:tabs>
          <w:tab w:val="left" w:pos="540"/>
          <w:tab w:val="left" w:pos="5954"/>
        </w:tabs>
        <w:ind w:firstLine="0"/>
        <w:jc w:val="both"/>
        <w:rPr>
          <w:sz w:val="22"/>
          <w:szCs w:val="22"/>
        </w:rPr>
      </w:pPr>
      <w:r w:rsidRPr="00AB4F28">
        <w:rPr>
          <w:sz w:val="22"/>
          <w:szCs w:val="22"/>
        </w:rPr>
        <w:t>Es una serie que presenta erosión hídrica actual leve y la potencialidad a la misma es moderada.</w:t>
      </w:r>
    </w:p>
    <w:p w:rsidR="00AB4F28" w:rsidRPr="00AB4F28" w:rsidRDefault="00AB4F28" w:rsidP="00AB4F2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  <w:u w:val="single"/>
        </w:rPr>
      </w:pPr>
      <w:r w:rsidRPr="00AB4F28">
        <w:rPr>
          <w:sz w:val="22"/>
          <w:szCs w:val="22"/>
        </w:rPr>
        <w:br w:type="page"/>
      </w:r>
    </w:p>
    <w:p w:rsidR="00AB4F28" w:rsidRPr="00AB4F28" w:rsidRDefault="00AB4F28" w:rsidP="00AB4F28">
      <w:pPr>
        <w:pStyle w:val="Ttulo1"/>
        <w:ind w:left="0"/>
        <w:rPr>
          <w:b/>
          <w:sz w:val="22"/>
          <w:szCs w:val="22"/>
          <w:u w:val="single"/>
        </w:rPr>
      </w:pPr>
      <w:r w:rsidRPr="00AB4F28">
        <w:rPr>
          <w:b/>
          <w:sz w:val="22"/>
          <w:szCs w:val="22"/>
          <w:u w:val="single"/>
        </w:rPr>
        <w:lastRenderedPageBreak/>
        <w:t>DATOS ANALITICOS DEL PERFIL TIPO</w:t>
      </w:r>
    </w:p>
    <w:p w:rsidR="00AB4F28" w:rsidRPr="00AB4F28" w:rsidRDefault="00AB4F28" w:rsidP="00AB4F28">
      <w:pPr>
        <w:pStyle w:val="Ttulo5"/>
        <w:rPr>
          <w:sz w:val="22"/>
          <w:szCs w:val="22"/>
        </w:rPr>
      </w:pPr>
    </w:p>
    <w:p w:rsidR="00AB4F28" w:rsidRPr="00AB4F28" w:rsidRDefault="00AB4F28" w:rsidP="00AB4F28">
      <w:pPr>
        <w:pStyle w:val="Ttulo5"/>
        <w:rPr>
          <w:sz w:val="22"/>
          <w:szCs w:val="22"/>
        </w:rPr>
      </w:pPr>
      <w:r w:rsidRPr="00AB4F28">
        <w:rPr>
          <w:sz w:val="22"/>
          <w:szCs w:val="22"/>
        </w:rPr>
        <w:t>Serie Colonia Santa Juana</w:t>
      </w:r>
    </w:p>
    <w:p w:rsidR="00AB4F28" w:rsidRPr="00AB4F28" w:rsidRDefault="00AB4F28" w:rsidP="00AB4F28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201"/>
        <w:gridCol w:w="1229"/>
        <w:gridCol w:w="1134"/>
        <w:gridCol w:w="1134"/>
        <w:gridCol w:w="1134"/>
        <w:gridCol w:w="1134"/>
        <w:gridCol w:w="1134"/>
      </w:tblGrid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 xml:space="preserve">ER3 – </w:t>
            </w:r>
            <w:smartTag w:uri="urn:schemas-microsoft-com:office:smarttags" w:element="metricconverter">
              <w:smartTagPr>
                <w:attr w:name="ProductID" w:val="49C"/>
              </w:smartTagPr>
              <w:r w:rsidRPr="00AB4F28">
                <w:rPr>
                  <w:sz w:val="22"/>
                  <w:szCs w:val="22"/>
                </w:rPr>
                <w:t>49C</w:t>
              </w:r>
            </w:smartTag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IIB21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IIB22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IIB31ca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IIB32ca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Profundidad (cm)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7-18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27-38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43-53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60-80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92-100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proofErr w:type="spellStart"/>
            <w:r w:rsidRPr="00AB4F28">
              <w:rPr>
                <w:sz w:val="22"/>
                <w:szCs w:val="22"/>
              </w:rPr>
              <w:t>Mat.orgánica</w:t>
            </w:r>
            <w:proofErr w:type="spellEnd"/>
            <w:r w:rsidRPr="00AB4F28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2,71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1,83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1,55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1,24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0,38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1,57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1,06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0,9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0,72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0,22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0,163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0,121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0,114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0,086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0,049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6" w:space="0" w:color="auto"/>
            </w:tcBorders>
          </w:tcPr>
          <w:p w:rsidR="00AB4F28" w:rsidRPr="00AB4F28" w:rsidRDefault="00AB4F28" w:rsidP="00AB4F28">
            <w:pPr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5</w:t>
            </w:r>
          </w:p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1429" w:type="dxa"/>
          </w:tcPr>
          <w:p w:rsidR="00AB4F28" w:rsidRPr="00AB4F28" w:rsidRDefault="00AB4F28" w:rsidP="00AB4F28">
            <w:pPr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 xml:space="preserve">T                        </w:t>
            </w:r>
          </w:p>
        </w:tc>
        <w:tc>
          <w:tcPr>
            <w:tcW w:w="1430" w:type="dxa"/>
            <w:gridSpan w:val="2"/>
          </w:tcPr>
          <w:p w:rsidR="00AB4F28" w:rsidRPr="00AB4F28" w:rsidRDefault="00AB4F28" w:rsidP="00AB4F28">
            <w:pPr>
              <w:jc w:val="right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 xml:space="preserve">&lt;2 </w:t>
            </w:r>
            <w:r w:rsidRPr="00AB4F28">
              <w:rPr>
                <w:sz w:val="22"/>
                <w:szCs w:val="22"/>
              </w:rPr>
              <w:t>µ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18,1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29,2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32,0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29,2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29,6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1429" w:type="dxa"/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 xml:space="preserve">E                     </w:t>
            </w:r>
          </w:p>
        </w:tc>
        <w:tc>
          <w:tcPr>
            <w:tcW w:w="1430" w:type="dxa"/>
            <w:gridSpan w:val="2"/>
          </w:tcPr>
          <w:p w:rsidR="00AB4F28" w:rsidRPr="00AB4F28" w:rsidRDefault="00AB4F28" w:rsidP="00AB4F28">
            <w:pPr>
              <w:jc w:val="right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2-20 µ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21,2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18,4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18,3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16,6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16,7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 xml:space="preserve">X                    </w:t>
            </w:r>
          </w:p>
        </w:tc>
        <w:tc>
          <w:tcPr>
            <w:tcW w:w="1430" w:type="dxa"/>
            <w:gridSpan w:val="2"/>
          </w:tcPr>
          <w:p w:rsidR="00AB4F28" w:rsidRPr="00AB4F28" w:rsidRDefault="00AB4F28" w:rsidP="00AB4F28">
            <w:pPr>
              <w:jc w:val="right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2-50 µ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28,8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30,7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29,9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33,1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35,8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 xml:space="preserve">T                 </w:t>
            </w:r>
          </w:p>
        </w:tc>
        <w:tc>
          <w:tcPr>
            <w:tcW w:w="1430" w:type="dxa"/>
            <w:gridSpan w:val="2"/>
          </w:tcPr>
          <w:p w:rsidR="00AB4F28" w:rsidRPr="00AB4F28" w:rsidRDefault="00AB4F28" w:rsidP="00AB4F28">
            <w:pPr>
              <w:jc w:val="right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50-100 µ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1,7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1,3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1,2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1,3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1,4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 xml:space="preserve">U               </w:t>
            </w:r>
          </w:p>
        </w:tc>
        <w:tc>
          <w:tcPr>
            <w:tcW w:w="1430" w:type="dxa"/>
            <w:gridSpan w:val="2"/>
          </w:tcPr>
          <w:p w:rsidR="00AB4F28" w:rsidRPr="00AB4F28" w:rsidRDefault="00AB4F28" w:rsidP="00AB4F28">
            <w:pPr>
              <w:jc w:val="right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100-250 µ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14,2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10,7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9,5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10,0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8,3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 xml:space="preserve">R               </w:t>
            </w:r>
          </w:p>
        </w:tc>
        <w:tc>
          <w:tcPr>
            <w:tcW w:w="1430" w:type="dxa"/>
            <w:gridSpan w:val="2"/>
          </w:tcPr>
          <w:p w:rsidR="00AB4F28" w:rsidRPr="00AB4F28" w:rsidRDefault="00AB4F28" w:rsidP="00AB4F28">
            <w:pPr>
              <w:jc w:val="right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250-500 µ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13,9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8,9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8,5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9,2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7,4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429" w:type="dxa"/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 xml:space="preserve">A             </w:t>
            </w:r>
          </w:p>
        </w:tc>
        <w:tc>
          <w:tcPr>
            <w:tcW w:w="1430" w:type="dxa"/>
            <w:gridSpan w:val="2"/>
          </w:tcPr>
          <w:p w:rsidR="00AB4F28" w:rsidRPr="00AB4F28" w:rsidRDefault="00AB4F28" w:rsidP="00AB4F28">
            <w:pPr>
              <w:jc w:val="right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500-1000 µ</w:t>
            </w:r>
            <w:bookmarkStart w:id="0" w:name="_GoBack"/>
            <w:bookmarkEnd w:id="0"/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2,1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0,8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0,6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0,6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0,8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4,7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9,0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% Saturación de Agua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58,0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69,0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74,0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69,0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68,3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22,9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38,8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38,5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33,9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33,0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8,0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7,8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  <w:lang w:val="es-ES_tradnl"/>
              </w:rPr>
            </w:pPr>
            <w:r w:rsidRPr="00AB4F28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6,5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7,1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7,8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8,2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8,2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 xml:space="preserve">pH en </w:t>
            </w:r>
            <w:proofErr w:type="spellStart"/>
            <w:r w:rsidRPr="00AB4F28">
              <w:rPr>
                <w:sz w:val="22"/>
                <w:szCs w:val="22"/>
              </w:rPr>
              <w:t>ClK</w:t>
            </w:r>
            <w:proofErr w:type="spellEnd"/>
            <w:r w:rsidRPr="00AB4F28">
              <w:rPr>
                <w:sz w:val="22"/>
                <w:szCs w:val="22"/>
              </w:rPr>
              <w:t xml:space="preserve"> (1:2,5)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5,3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5,7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6,4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7,0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7,0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Conductividad (</w:t>
            </w:r>
            <w:proofErr w:type="spellStart"/>
            <w:r w:rsidRPr="00AB4F28">
              <w:rPr>
                <w:sz w:val="22"/>
                <w:szCs w:val="22"/>
              </w:rPr>
              <w:t>mmhos</w:t>
            </w:r>
            <w:proofErr w:type="spellEnd"/>
            <w:r w:rsidRPr="00AB4F28">
              <w:rPr>
                <w:sz w:val="22"/>
                <w:szCs w:val="22"/>
              </w:rPr>
              <w:t>/cm)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0,6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 xml:space="preserve">Sales </w:t>
            </w:r>
            <w:proofErr w:type="spellStart"/>
            <w:r w:rsidRPr="00AB4F28">
              <w:rPr>
                <w:sz w:val="22"/>
                <w:szCs w:val="22"/>
                <w:lang w:val="en-US"/>
              </w:rPr>
              <w:t>solubles</w:t>
            </w:r>
            <w:proofErr w:type="spellEnd"/>
            <w:r w:rsidRPr="00AB4F28">
              <w:rPr>
                <w:sz w:val="22"/>
                <w:szCs w:val="22"/>
                <w:lang w:val="en-US"/>
              </w:rPr>
              <w:t xml:space="preserve"> grs (%)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-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Resistencia en pasta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3532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1764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1412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1112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850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 w:val="restart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</w:p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Cationes de cambio</w:t>
            </w:r>
          </w:p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proofErr w:type="spellStart"/>
            <w:r w:rsidRPr="00AB4F28">
              <w:rPr>
                <w:sz w:val="22"/>
                <w:szCs w:val="22"/>
              </w:rPr>
              <w:t>m.e</w:t>
            </w:r>
            <w:proofErr w:type="spellEnd"/>
            <w:r w:rsidRPr="00AB4F28">
              <w:rPr>
                <w:sz w:val="22"/>
                <w:szCs w:val="22"/>
              </w:rPr>
              <w:t>./100 gr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</w:tcBorders>
          </w:tcPr>
          <w:p w:rsidR="00AB4F28" w:rsidRPr="00AB4F28" w:rsidRDefault="00AB4F28" w:rsidP="00AB4F28">
            <w:pPr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Ca ++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18,1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33,3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33,9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ND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/>
          </w:tcPr>
          <w:p w:rsidR="00AB4F28" w:rsidRPr="00AB4F28" w:rsidRDefault="00AB4F28" w:rsidP="00AB4F2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AB4F28" w:rsidRPr="00AB4F28" w:rsidRDefault="00AB4F28" w:rsidP="00AB4F28">
            <w:pPr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Mg ++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2,9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3,0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4,2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ND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630" w:type="dxa"/>
            <w:gridSpan w:val="2"/>
            <w:vMerge/>
          </w:tcPr>
          <w:p w:rsidR="00AB4F28" w:rsidRPr="00AB4F28" w:rsidRDefault="00AB4F28" w:rsidP="00AB4F2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AB4F28" w:rsidRPr="00AB4F28" w:rsidRDefault="00AB4F28" w:rsidP="00AB4F28">
            <w:pPr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Na ++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1,0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2,7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3,0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3,7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3,7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AB4F28" w:rsidRPr="00AB4F28" w:rsidRDefault="00AB4F28" w:rsidP="00AB4F2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AB4F28" w:rsidRPr="00AB4F28" w:rsidRDefault="00AB4F28" w:rsidP="00AB4F28">
            <w:pPr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K ++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0,3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0,6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0,6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0,6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  <w:lang w:val="pt-BR"/>
              </w:rPr>
            </w:pPr>
            <w:r w:rsidRPr="00AB4F28">
              <w:rPr>
                <w:sz w:val="22"/>
                <w:szCs w:val="22"/>
                <w:lang w:val="pt-BR"/>
              </w:rPr>
              <w:t>Valor S (</w:t>
            </w:r>
            <w:proofErr w:type="spellStart"/>
            <w:r w:rsidRPr="00AB4F28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AB4F28">
              <w:rPr>
                <w:sz w:val="22"/>
                <w:szCs w:val="22"/>
                <w:lang w:val="pt-BR"/>
              </w:rPr>
              <w:t xml:space="preserve">./ 100 </w:t>
            </w:r>
            <w:proofErr w:type="spellStart"/>
            <w:proofErr w:type="gramStart"/>
            <w:r w:rsidRPr="00AB4F28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AB4F28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223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39,4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41,7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ND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  <w:lang w:val="pt-BR"/>
              </w:rPr>
            </w:pPr>
            <w:r w:rsidRPr="00AB4F28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AB4F28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AB4F28">
              <w:rPr>
                <w:sz w:val="22"/>
                <w:szCs w:val="22"/>
                <w:lang w:val="pt-BR"/>
              </w:rPr>
              <w:t xml:space="preserve">. / 100 </w:t>
            </w:r>
            <w:proofErr w:type="spellStart"/>
            <w:proofErr w:type="gramStart"/>
            <w:r w:rsidRPr="00AB4F28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AB4F28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2,1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2,1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2,1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  <w:lang w:val="en-US"/>
              </w:rPr>
            </w:pPr>
            <w:r w:rsidRPr="00AB4F28">
              <w:rPr>
                <w:sz w:val="22"/>
                <w:szCs w:val="22"/>
                <w:lang w:val="en-US"/>
              </w:rPr>
              <w:t>ND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  <w:lang w:val="pt-BR"/>
              </w:rPr>
            </w:pPr>
            <w:r w:rsidRPr="00AB4F28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AB4F28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AB4F28">
              <w:rPr>
                <w:sz w:val="22"/>
                <w:szCs w:val="22"/>
                <w:lang w:val="pt-BR"/>
              </w:rPr>
              <w:t xml:space="preserve">. / 100 </w:t>
            </w:r>
            <w:proofErr w:type="spellStart"/>
            <w:proofErr w:type="gramStart"/>
            <w:r w:rsidRPr="00AB4F28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AB4F28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24,6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40,8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43,0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35,7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35,4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% de saturación de T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91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97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97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ND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ND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% de saturación de S + H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-</w:t>
            </w:r>
          </w:p>
        </w:tc>
      </w:tr>
      <w:tr w:rsidR="00AB4F28" w:rsidRPr="00AB4F28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B4F28" w:rsidRPr="00AB4F28" w:rsidRDefault="00AB4F28" w:rsidP="00AB4F28">
            <w:pPr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 xml:space="preserve">% </w:t>
            </w:r>
            <w:proofErr w:type="spellStart"/>
            <w:r w:rsidRPr="00AB4F28">
              <w:rPr>
                <w:sz w:val="22"/>
                <w:szCs w:val="22"/>
              </w:rPr>
              <w:t>Na</w:t>
            </w:r>
            <w:proofErr w:type="spellEnd"/>
            <w:r w:rsidRPr="00AB4F28">
              <w:rPr>
                <w:sz w:val="22"/>
                <w:szCs w:val="22"/>
              </w:rPr>
              <w:t xml:space="preserve"> / T</w:t>
            </w:r>
          </w:p>
        </w:tc>
        <w:tc>
          <w:tcPr>
            <w:tcW w:w="1134" w:type="dxa"/>
            <w:vAlign w:val="bottom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4,1</w:t>
            </w:r>
          </w:p>
        </w:tc>
        <w:tc>
          <w:tcPr>
            <w:tcW w:w="1134" w:type="dxa"/>
            <w:vAlign w:val="bottom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6,6</w:t>
            </w:r>
          </w:p>
        </w:tc>
        <w:tc>
          <w:tcPr>
            <w:tcW w:w="1134" w:type="dxa"/>
            <w:vAlign w:val="bottom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7,0</w:t>
            </w:r>
          </w:p>
        </w:tc>
        <w:tc>
          <w:tcPr>
            <w:tcW w:w="1134" w:type="dxa"/>
            <w:vAlign w:val="bottom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10,4</w:t>
            </w:r>
          </w:p>
        </w:tc>
        <w:tc>
          <w:tcPr>
            <w:tcW w:w="1134" w:type="dxa"/>
            <w:vAlign w:val="bottom"/>
          </w:tcPr>
          <w:p w:rsidR="00AB4F28" w:rsidRPr="00AB4F28" w:rsidRDefault="00AB4F28" w:rsidP="00AB4F28">
            <w:pPr>
              <w:jc w:val="center"/>
              <w:rPr>
                <w:sz w:val="22"/>
                <w:szCs w:val="22"/>
              </w:rPr>
            </w:pPr>
            <w:r w:rsidRPr="00AB4F28">
              <w:rPr>
                <w:sz w:val="22"/>
                <w:szCs w:val="22"/>
              </w:rPr>
              <w:t>10,5</w:t>
            </w:r>
          </w:p>
        </w:tc>
      </w:tr>
    </w:tbl>
    <w:p w:rsidR="005C6BD1" w:rsidRPr="00AB4F28" w:rsidRDefault="005C6BD1" w:rsidP="00AB4F28">
      <w:pPr>
        <w:rPr>
          <w:sz w:val="22"/>
          <w:szCs w:val="22"/>
        </w:rPr>
      </w:pPr>
    </w:p>
    <w:sectPr w:rsidR="005C6BD1" w:rsidRPr="00AB4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F28"/>
    <w:rsid w:val="005C6BD1"/>
    <w:rsid w:val="00AB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B4F28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AB4F28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4F2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AB4F28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B4F28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AB4F2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4F28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B4F28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B4F28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AB4F28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4F2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AB4F28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B4F28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AB4F2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4F28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B4F28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764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2014-01-28T15:40:00Z</dcterms:created>
  <dcterms:modified xsi:type="dcterms:W3CDTF">2014-01-28T15:42:00Z</dcterms:modified>
</cp:coreProperties>
</file>