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AD1016">
        <w:rPr>
          <w:b/>
          <w:szCs w:val="24"/>
        </w:rPr>
        <w:t xml:space="preserve">SERIE </w:t>
      </w:r>
      <w:r w:rsidRPr="00AD1016">
        <w:rPr>
          <w:b/>
          <w:bCs/>
          <w:szCs w:val="24"/>
          <w:lang w:val="es-ES_tradnl"/>
        </w:rPr>
        <w:t>EL PROGRESO</w:t>
      </w:r>
      <w:r w:rsidRPr="00AD1016">
        <w:rPr>
          <w:szCs w:val="24"/>
        </w:rPr>
        <w:t xml:space="preserve">                </w:t>
      </w:r>
      <w:r>
        <w:rPr>
          <w:szCs w:val="24"/>
        </w:rPr>
        <w:t xml:space="preserve"> </w:t>
      </w:r>
      <w:r w:rsidRPr="00AD1016">
        <w:rPr>
          <w:szCs w:val="24"/>
        </w:rPr>
        <w:t xml:space="preserve">                                                                 Símbolo: </w:t>
      </w:r>
      <w:proofErr w:type="spellStart"/>
      <w:r w:rsidRPr="00AD1016">
        <w:rPr>
          <w:b/>
          <w:szCs w:val="24"/>
        </w:rPr>
        <w:t>EPr</w:t>
      </w:r>
      <w:proofErr w:type="spellEnd"/>
    </w:p>
    <w:p w:rsid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AD1016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AD1016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oscuro, franco-limoso a franco-arcillo-limoso, y un horizonte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pardo oscuro, arcillo-limoso a franco-arcillo-limoso, con moteados de hierro-manganeso.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>Suelos desarrollados sobre loess calcáreo, franco-arcillo-limoso, con concreciones de calcáreo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loessskindeln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y calcáreo libre a partir de los 90-100 cm de profundidad.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 ER7-106C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 19-VII-1995  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 Establecimiento "El Cuadro" (foto 419-38) -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dto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Montoya - Dpto. Victoria.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L.O.López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.</w:t>
      </w:r>
    </w:p>
    <w:p w:rsid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AD101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D1016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28 cm; gris muy oscuro (10YR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medios, débiles; friable en húmedo; barnices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comunes; moteados de hierro-manganeso escasos, finos y precisos; presencia de lombrices; límite claro, suave.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AD101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D1016">
        <w:rPr>
          <w:rFonts w:ascii="Times New Roman" w:hAnsi="Times New Roman"/>
          <w:sz w:val="22"/>
          <w:szCs w:val="22"/>
          <w:lang w:val="es-ES_tradnl"/>
        </w:rPr>
        <w:t>28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58 cm; pardo  oscuro (7.5YR 3/2)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"), comunes y finos, y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"), abundantes y medios; caras de fricción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escasas, gruesas; moteados de hierro-manganeso comunes, medios y precisos; presencia de lombrices; límite gradual, suave.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AD101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D1016">
        <w:rPr>
          <w:rFonts w:ascii="Times New Roman" w:hAnsi="Times New Roman"/>
          <w:sz w:val="22"/>
          <w:szCs w:val="22"/>
          <w:lang w:val="es-ES_tradnl"/>
        </w:rPr>
        <w:t>58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86 cm; pardo oscuro (7.5YR 4/3)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 finos, débiles, que rompen en bloques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friable en húmedo; barnices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abundantes y medios, y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comunes y medios; caras de fricción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escasas, gruesas no intersectadas; moteados de hierro-manganeso comunes, medios y precisos; límite gradual, ondulado.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AD101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D1016">
        <w:rPr>
          <w:rFonts w:ascii="Times New Roman" w:hAnsi="Times New Roman"/>
          <w:sz w:val="22"/>
          <w:szCs w:val="22"/>
          <w:lang w:val="es-ES_tradnl"/>
        </w:rPr>
        <w:t>86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110 cm; pardo oscuro (7.5YR 4.5/4)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limoso; estructura en bloques angulares irregulares y bloques cuneiformes finos y débiles; friable en húmedo; barnices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y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") escasos y finos; caras de fricción 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") escasas y gruesas no intersectadas; moteados de hierro-manganesos comunes, finos y precisos; carbonatos libres en la masa; concreciones calcáreas finas, escasas;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glébulas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de carbonato de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cálcio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; límite gradual, ondulado.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AD1016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D1016">
        <w:rPr>
          <w:rFonts w:ascii="Times New Roman" w:hAnsi="Times New Roman"/>
          <w:sz w:val="22"/>
          <w:szCs w:val="22"/>
          <w:lang w:val="es-ES_tradnl"/>
        </w:rPr>
        <w:t>110 cm+; pardo (7.5YR 5/3)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D1016">
        <w:rPr>
          <w:rFonts w:ascii="Times New Roman" w:hAnsi="Times New Roman"/>
          <w:sz w:val="22"/>
          <w:szCs w:val="22"/>
          <w:lang w:val="es-ES_tradnl"/>
        </w:rPr>
        <w:t>arcillo-limoso; estructura masiva; muy friable en húmedo; barnices ("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 xml:space="preserve">") muy escasos; abundante cantidad de carbonatos libres en la masa; concreciones calcáreas escasas, finas, blandas y en </w:t>
      </w:r>
      <w:proofErr w:type="spellStart"/>
      <w:r w:rsidRPr="00AD1016">
        <w:rPr>
          <w:rFonts w:ascii="Times New Roman" w:hAnsi="Times New Roman"/>
          <w:sz w:val="22"/>
          <w:szCs w:val="22"/>
          <w:lang w:val="es-ES_tradnl"/>
        </w:rPr>
        <w:t>miscelio</w:t>
      </w:r>
      <w:proofErr w:type="spellEnd"/>
      <w:r w:rsidRPr="00AD1016">
        <w:rPr>
          <w:rFonts w:ascii="Times New Roman" w:hAnsi="Times New Roman"/>
          <w:sz w:val="22"/>
          <w:szCs w:val="22"/>
          <w:lang w:val="es-ES_tradnl"/>
        </w:rPr>
        <w:t>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>La variabilidad de rasgos no se conoce.</w:t>
      </w:r>
    </w:p>
    <w:p w:rsid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>No presenta a nivel de reconocimiento (1:100.000).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>Se parece a la serie Antelo, pero ésta tiene más arcilla en el B2t.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>Moderadamente bien drenado; escurrimiento superficial medio. Permeabilidad  moderada. Napa freática profunda. Grupo hidrológico C.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D1016">
        <w:rPr>
          <w:rFonts w:ascii="Times New Roman" w:hAnsi="Times New Roman"/>
          <w:sz w:val="22"/>
          <w:szCs w:val="22"/>
          <w:lang w:val="es-ES_tradnl"/>
        </w:rPr>
        <w:t xml:space="preserve">La serie El Progreso tiene erosión actual leve (principalmente laminar y en algunos surcos) y su susceptibilidad a la misma es moderada. </w:t>
      </w:r>
    </w:p>
    <w:p w:rsidR="00AD1016" w:rsidRPr="00AD1016" w:rsidRDefault="00AD1016" w:rsidP="00AD1016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  <w:sectPr w:rsidR="00AD1016" w:rsidRPr="00AD1016" w:rsidSect="00AD1016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AD1016" w:rsidRPr="00AD1016" w:rsidRDefault="00AD1016" w:rsidP="00AD1016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AD1016" w:rsidRPr="00AD1016" w:rsidRDefault="00AD1016" w:rsidP="00AD101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D1016">
        <w:rPr>
          <w:rFonts w:ascii="Times New Roman" w:hAnsi="Times New Roman"/>
          <w:b/>
          <w:sz w:val="22"/>
          <w:szCs w:val="22"/>
          <w:u w:val="single"/>
          <w:lang w:val="es-ES_tradnl"/>
        </w:rPr>
        <w:t>Serie El Progreso</w:t>
      </w:r>
    </w:p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8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887"/>
        <w:gridCol w:w="1274"/>
        <w:gridCol w:w="992"/>
        <w:gridCol w:w="993"/>
        <w:gridCol w:w="992"/>
        <w:gridCol w:w="1134"/>
        <w:gridCol w:w="992"/>
      </w:tblGrid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ER7-106C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10.480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10.481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10.482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10.483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10.484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03-25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35-55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60-80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90-100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115-120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3.48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0.35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&lt; 2 µ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27.62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37.58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45.04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40.88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33.91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30.37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23.02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26.13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28.09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63.40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56.44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49.74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53.50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53.22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T              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0.73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1.49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U            100-</w:t>
            </w:r>
            <w:bookmarkStart w:id="0" w:name="_GoBack"/>
            <w:bookmarkEnd w:id="0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7.72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5.20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4.28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11.19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R           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0.19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CO3Ca (%) 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2.6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H2O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8.5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6.8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7.0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D1016">
              <w:rPr>
                <w:rFonts w:ascii="Times New Roman" w:hAnsi="Times New Roman"/>
                <w:sz w:val="22"/>
                <w:szCs w:val="22"/>
              </w:rPr>
              <w:t>Conductividad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D1016">
              <w:rPr>
                <w:rFonts w:ascii="Times New Roman" w:hAnsi="Times New Roman"/>
                <w:sz w:val="22"/>
                <w:szCs w:val="22"/>
              </w:rPr>
              <w:t>eléctrica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D1016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</w:rPr>
              <w:t>/cm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Capacidad de </w:t>
            </w:r>
          </w:p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proofErr w:type="gramStart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interc</w:t>
            </w:r>
            <w:proofErr w:type="spellEnd"/>
            <w:proofErr w:type="gramEnd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catiónico </w:t>
            </w:r>
          </w:p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proofErr w:type="spellStart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./100 g) = valor T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26.84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30.40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35.40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30.10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18.82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22.41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16.00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6.63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1.98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4.22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</w:rPr>
              <w:t>5.70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color w:val="000000"/>
                <w:sz w:val="22"/>
                <w:szCs w:val="22"/>
              </w:rPr>
              <w:t>9.31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color w:val="000000"/>
                <w:sz w:val="22"/>
                <w:szCs w:val="22"/>
              </w:rPr>
              <w:t>14.75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1016">
              <w:rPr>
                <w:rFonts w:ascii="Times New Roman" w:hAnsi="Times New Roman"/>
                <w:color w:val="000000"/>
                <w:sz w:val="22"/>
                <w:szCs w:val="22"/>
              </w:rPr>
              <w:t>18.94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26.12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35.03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43.21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38.67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30.56</w:t>
            </w:r>
          </w:p>
        </w:tc>
      </w:tr>
      <w:tr w:rsidR="00AD1016" w:rsidRPr="00AD1016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1.89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1.55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D1016" w:rsidRPr="00AD1016" w:rsidRDefault="00AD1016" w:rsidP="00AD101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D101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AD1016" w:rsidRPr="00AD1016" w:rsidRDefault="00AD1016" w:rsidP="00AD101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10974" w:rsidRPr="00AD1016" w:rsidRDefault="00610974" w:rsidP="00AD1016">
      <w:pPr>
        <w:rPr>
          <w:rFonts w:ascii="Times New Roman" w:hAnsi="Times New Roman"/>
          <w:sz w:val="22"/>
          <w:szCs w:val="22"/>
        </w:rPr>
      </w:pPr>
    </w:p>
    <w:sectPr w:rsidR="00610974" w:rsidRPr="00AD1016" w:rsidSect="00AD1016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16"/>
    <w:rsid w:val="00610974"/>
    <w:rsid w:val="00AD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016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D1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D1016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AD1016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D101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016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D1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D1016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AD1016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D101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686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2014-02-10T12:03:00Z</dcterms:created>
  <dcterms:modified xsi:type="dcterms:W3CDTF">2014-02-10T12:10:00Z</dcterms:modified>
</cp:coreProperties>
</file>