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4" w:color="auto" w:shadow="1"/>
        </w:pBdr>
        <w:rPr>
          <w:szCs w:val="24"/>
        </w:rPr>
      </w:pPr>
      <w:r w:rsidRPr="00554945">
        <w:rPr>
          <w:b/>
          <w:szCs w:val="24"/>
        </w:rPr>
        <w:t xml:space="preserve">SERIE </w:t>
      </w:r>
      <w:r w:rsidRPr="00554945">
        <w:rPr>
          <w:b/>
          <w:bCs/>
          <w:szCs w:val="24"/>
          <w:lang w:val="es-ES_tradnl"/>
        </w:rPr>
        <w:t>EL TERRON</w:t>
      </w:r>
      <w:r w:rsidRPr="00554945">
        <w:rPr>
          <w:szCs w:val="24"/>
        </w:rPr>
        <w:t xml:space="preserve">                                                                   </w:t>
      </w:r>
      <w:r w:rsidR="00BD7438">
        <w:rPr>
          <w:szCs w:val="24"/>
        </w:rPr>
        <w:t xml:space="preserve"> </w:t>
      </w:r>
      <w:r w:rsidRPr="00554945">
        <w:rPr>
          <w:szCs w:val="24"/>
        </w:rPr>
        <w:t xml:space="preserve">                  Símbolo: </w:t>
      </w:r>
      <w:proofErr w:type="spellStart"/>
      <w:r w:rsidRPr="00554945">
        <w:rPr>
          <w:b/>
          <w:szCs w:val="24"/>
        </w:rPr>
        <w:t>ETrr</w:t>
      </w:r>
      <w:proofErr w:type="spellEnd"/>
    </w:p>
    <w:p w:rsid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BD7438" w:rsidRPr="00554945" w:rsidRDefault="00BD7438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right" w:pos="9071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 xml:space="preserve">Pertenece a la familia "fina, mixta, térmica" de los </w:t>
      </w:r>
      <w:proofErr w:type="spellStart"/>
      <w:r w:rsidRPr="00554945">
        <w:rPr>
          <w:rFonts w:ascii="Times New Roman" w:hAnsi="Times New Roman"/>
          <w:sz w:val="22"/>
          <w:szCs w:val="22"/>
          <w:u w:val="single"/>
          <w:lang w:val="es-ES_tradnl"/>
        </w:rPr>
        <w:t>Argiudoles</w:t>
      </w:r>
      <w:proofErr w:type="spellEnd"/>
      <w:r w:rsidRPr="00554945">
        <w:rPr>
          <w:rFonts w:ascii="Times New Roman" w:hAnsi="Times New Roman"/>
          <w:sz w:val="22"/>
          <w:szCs w:val="22"/>
          <w:u w:val="single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u w:val="single"/>
          <w:lang w:val="es-ES_tradnl"/>
        </w:rPr>
        <w:t>ácuicos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. Son suelos profundos, imperfecta a moderadamente bien drenados, con un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mólico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oscuro, franco-limoso, y un horizonte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franco-arcillo-limoso, con moteados de hierro-manganeso.  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>Suelos desarrollados en loess de textura franco-arcillo-limosa.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t>Perfil tipo: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 ER7-103C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Fecha: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 28-VI-1995  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Ubicación: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 Establecimiento "El Terrón" (foto 415-6), dto. Rincón de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Nogoyá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- Dpto. Victoria.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Reconocedores: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L.O.López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;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O.A.Foti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A1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00</w:t>
      </w:r>
      <w:r w:rsidR="00BD7438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>20 cm; gris muy oscuro (10YR 3/1) en húmedo; franco</w:t>
      </w:r>
      <w:r w:rsidR="00051BCE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limoso; estructura granular y bloques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medios, débiles; friable en húmedo; barnices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" comunes, finos; moteados de hierro-manganeso comunes, finos y precisos; presencia de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pedotúbulos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lombrices; límite claro, suave.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B21t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20</w:t>
      </w:r>
      <w:r w:rsidR="00BD7438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>44 cm; pardo grisáceo muy oscuro (10YR 3/2) en húmedo; franco-arcillo</w:t>
      </w:r>
      <w:r w:rsidR="00051BCE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 medios, débiles, que rompen en bloques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angulares irregulares medios, débiles; friable en húmedo; barnices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 comunes y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 escasos; caras de fricción ("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") escasas, finas; concreciones de hierro-manganeso escasas; moteados de hierro comunes, medios y precisos; presencia de raíces aplastadas; límite claro, suave.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B22t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44</w:t>
      </w:r>
      <w:r w:rsidR="00BD7438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>57 cm; pardo a pardo oscuro (10YR 4/3) en húmedo; franco-arcillo</w:t>
      </w:r>
      <w:r w:rsidR="00051BCE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limoso; estructura en prismas compuestos irregulares, finos, débiles, que rompen en bloques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subaugulares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angulares irregulares, medios, débiles; friable en húmedo; barnices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 y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 comunes; caras de fricción ("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slickensides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") escasas, gruesas e intersectadas; moteados de hierro-manganeso comunes, medios y precisos; chorreadura de materia orgánica; límite gradual, suave.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B31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57</w:t>
      </w:r>
      <w:r w:rsidR="00BD7438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>79 cm; pardo a pardo oscuro (7.5YR 4/4) en húmedo; franco</w:t>
      </w:r>
      <w:r w:rsidR="00051BCE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>arcillo</w:t>
      </w:r>
      <w:r w:rsidR="00051BCE">
        <w:rPr>
          <w:rFonts w:ascii="Times New Roman" w:hAnsi="Times New Roman"/>
          <w:sz w:val="22"/>
          <w:szCs w:val="22"/>
          <w:lang w:val="es-ES_tradnl"/>
        </w:rPr>
        <w:t>-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limoso; estructura en bloques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barnices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skins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", escasos y finos; moteados de hierro-manganeso  escasos, finos y débiles; límite claro, suave.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B32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79-105 cm; pardo a pardo oscuro (7.5YR 4/4) en húmedo; franco</w:t>
      </w:r>
      <w:r w:rsidR="00051BCE">
        <w:rPr>
          <w:rFonts w:ascii="Times New Roman" w:hAnsi="Times New Roman"/>
          <w:sz w:val="22"/>
          <w:szCs w:val="22"/>
          <w:lang w:val="es-ES_tradnl"/>
        </w:rPr>
        <w:t>-a</w:t>
      </w:r>
      <w:bookmarkStart w:id="0" w:name="_GoBack"/>
      <w:bookmarkEnd w:id="0"/>
      <w:r w:rsidRPr="00554945">
        <w:rPr>
          <w:rFonts w:ascii="Times New Roman" w:hAnsi="Times New Roman"/>
          <w:sz w:val="22"/>
          <w:szCs w:val="22"/>
          <w:lang w:val="es-ES_tradnl"/>
        </w:rPr>
        <w:t xml:space="preserve">rcillo-limoso; estructura en bloques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subangulares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angulares irregulares medios, moderados; friable en húmedo; barnices "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clay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humic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" escasos; moteados de hierro-manganeso comunes, finos y precisos, límite difuso, suave.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tabs>
          <w:tab w:val="left" w:pos="-1440"/>
        </w:tabs>
        <w:jc w:val="both"/>
        <w:rPr>
          <w:rFonts w:ascii="Times New Roman" w:hAnsi="Times New Roman"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lang w:val="es-ES_tradnl"/>
        </w:rPr>
        <w:t>C</w:t>
      </w:r>
      <w:r w:rsidRPr="00554945">
        <w:rPr>
          <w:rFonts w:ascii="Times New Roman" w:hAnsi="Times New Roman"/>
          <w:sz w:val="22"/>
          <w:szCs w:val="22"/>
          <w:lang w:val="es-ES_tradnl"/>
        </w:rPr>
        <w:t>:</w:t>
      </w:r>
      <w:r w:rsidR="00BD7438">
        <w:rPr>
          <w:rFonts w:ascii="Times New Roman" w:hAnsi="Times New Roman"/>
          <w:sz w:val="22"/>
          <w:szCs w:val="22"/>
          <w:lang w:val="es-ES_tradnl"/>
        </w:rPr>
        <w:t xml:space="preserve"> </w:t>
      </w:r>
      <w:r w:rsidRPr="00554945">
        <w:rPr>
          <w:rFonts w:ascii="Times New Roman" w:hAnsi="Times New Roman"/>
          <w:sz w:val="22"/>
          <w:szCs w:val="22"/>
          <w:lang w:val="es-ES_tradnl"/>
        </w:rPr>
        <w:t>105 cm+; pardo (7.5YR 5/4) en húmedo; franco-arcillo-limoso; estructura masiva; friable  en húmedo; moteados de hierro-manganeso comunes, finos y precisos,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D7438" w:rsidRDefault="00BD7438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BD7438" w:rsidRDefault="00BD7438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BD7438" w:rsidRDefault="00554945" w:rsidP="00554945">
      <w:pPr>
        <w:jc w:val="both"/>
        <w:rPr>
          <w:rFonts w:ascii="Times New Roman" w:hAnsi="Times New Roman"/>
          <w:b/>
          <w:sz w:val="22"/>
          <w:szCs w:val="22"/>
          <w:u w:val="single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Variabilidad de rasgos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 xml:space="preserve">La variabilidad de rasgos del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solum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no se conoce, aunque ha podido observarse que las variaciones en el horizonte superficial (espesor, textura, etc</w:t>
      </w:r>
      <w:r w:rsidR="00051BCE">
        <w:rPr>
          <w:rFonts w:ascii="Times New Roman" w:hAnsi="Times New Roman"/>
          <w:sz w:val="22"/>
          <w:szCs w:val="22"/>
          <w:lang w:val="es-ES_tradnl"/>
        </w:rPr>
        <w:t>.</w:t>
      </w:r>
      <w:r w:rsidRPr="00554945">
        <w:rPr>
          <w:rFonts w:ascii="Times New Roman" w:hAnsi="Times New Roman"/>
          <w:sz w:val="22"/>
          <w:szCs w:val="22"/>
          <w:lang w:val="es-ES_tradnl"/>
        </w:rPr>
        <w:t xml:space="preserve">) están íntimamente relacionadas al factor erosivo (muy variable en corta distancia). 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 xml:space="preserve">Un rasgo frecuente en esta serie es la formación de un "piso de arado" que incluye la base del horizonte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Ap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y parte del B2t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argílico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>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BD7438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t>Fases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BD7438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>
        <w:rPr>
          <w:rFonts w:ascii="Times New Roman" w:hAnsi="Times New Roman"/>
          <w:sz w:val="22"/>
          <w:szCs w:val="22"/>
          <w:lang w:val="es-ES_tradnl"/>
        </w:rPr>
        <w:t>M</w:t>
      </w:r>
      <w:r w:rsidR="00554945" w:rsidRPr="00554945">
        <w:rPr>
          <w:rFonts w:ascii="Times New Roman" w:hAnsi="Times New Roman"/>
          <w:sz w:val="22"/>
          <w:szCs w:val="22"/>
          <w:lang w:val="es-ES_tradnl"/>
        </w:rPr>
        <w:t>oderadamente erosionada (símbolo: ETrrh2).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BD7438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t>Series similares y sus diferencias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 xml:space="preserve">Se parece a la serie Pueblito Norte, pero ésta tiene un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epipedón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 normalmente más profundo y un B2t más arcilloso, con características </w:t>
      </w:r>
      <w:proofErr w:type="spellStart"/>
      <w:r w:rsidRPr="00554945">
        <w:rPr>
          <w:rFonts w:ascii="Times New Roman" w:hAnsi="Times New Roman"/>
          <w:sz w:val="22"/>
          <w:szCs w:val="22"/>
          <w:lang w:val="es-ES_tradnl"/>
        </w:rPr>
        <w:t>vérticas</w:t>
      </w:r>
      <w:proofErr w:type="spellEnd"/>
      <w:r w:rsidRPr="00554945">
        <w:rPr>
          <w:rFonts w:ascii="Times New Roman" w:hAnsi="Times New Roman"/>
          <w:sz w:val="22"/>
          <w:szCs w:val="22"/>
          <w:lang w:val="es-ES_tradnl"/>
        </w:rPr>
        <w:t xml:space="preserve">. 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BD7438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t>Drenaje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>Imperfecta a moderadamente bien drenado; escurrimiento superficial rápido. Permeabilidad moderadamente lenta. Napa freática profunda. Grupo hidrológico C.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u w:val="single"/>
          <w:lang w:val="es-ES_tradnl"/>
        </w:rPr>
      </w:pPr>
    </w:p>
    <w:p w:rsidR="00554945" w:rsidRPr="00BD7438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BD7438">
        <w:rPr>
          <w:rFonts w:ascii="Times New Roman" w:hAnsi="Times New Roman"/>
          <w:b/>
          <w:sz w:val="22"/>
          <w:szCs w:val="22"/>
          <w:u w:val="single"/>
          <w:lang w:val="es-ES_tradnl"/>
        </w:rPr>
        <w:t>Erosión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</w:pPr>
      <w:r w:rsidRPr="00554945">
        <w:rPr>
          <w:rFonts w:ascii="Times New Roman" w:hAnsi="Times New Roman"/>
          <w:sz w:val="22"/>
          <w:szCs w:val="22"/>
          <w:lang w:val="es-ES_tradnl"/>
        </w:rPr>
        <w:t xml:space="preserve">La Serie El Terrón tiene erosión actual moderada (principalmente en forma laminar), y su susceptibilidad a la misma es moderada a severa. </w:t>
      </w:r>
    </w:p>
    <w:p w:rsidR="00554945" w:rsidRPr="00554945" w:rsidRDefault="00554945" w:rsidP="00BD7438">
      <w:pPr>
        <w:jc w:val="both"/>
        <w:rPr>
          <w:rFonts w:ascii="Times New Roman" w:hAnsi="Times New Roman"/>
          <w:sz w:val="22"/>
          <w:szCs w:val="22"/>
          <w:lang w:val="es-ES_tradnl"/>
        </w:rPr>
        <w:sectPr w:rsidR="00554945" w:rsidRPr="00554945" w:rsidSect="00554945">
          <w:endnotePr>
            <w:numFmt w:val="decimal"/>
          </w:endnotePr>
          <w:type w:val="continuous"/>
          <w:pgSz w:w="12242" w:h="15842" w:code="1"/>
          <w:pgMar w:top="1418" w:right="1701" w:bottom="1418" w:left="1701" w:header="1134" w:footer="1701" w:gutter="0"/>
          <w:cols w:space="720"/>
          <w:noEndnote/>
          <w:titlePg/>
        </w:sectPr>
      </w:pPr>
    </w:p>
    <w:p w:rsidR="00554945" w:rsidRPr="00554945" w:rsidRDefault="00554945" w:rsidP="00554945">
      <w:pPr>
        <w:tabs>
          <w:tab w:val="center" w:pos="4535"/>
        </w:tabs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54945">
        <w:rPr>
          <w:rFonts w:ascii="Times New Roman" w:hAnsi="Times New Roman"/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54945" w:rsidRPr="00554945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</w:p>
    <w:p w:rsidR="00554945" w:rsidRPr="00554945" w:rsidRDefault="00554945" w:rsidP="00554945">
      <w:pPr>
        <w:jc w:val="both"/>
        <w:rPr>
          <w:rFonts w:ascii="Times New Roman" w:hAnsi="Times New Roman"/>
          <w:b/>
          <w:sz w:val="22"/>
          <w:szCs w:val="22"/>
          <w:lang w:val="es-ES_tradnl"/>
        </w:rPr>
      </w:pPr>
      <w:r w:rsidRPr="00554945">
        <w:rPr>
          <w:rFonts w:ascii="Times New Roman" w:hAnsi="Times New Roman"/>
          <w:b/>
          <w:sz w:val="22"/>
          <w:szCs w:val="22"/>
          <w:u w:val="single"/>
          <w:lang w:val="es-ES_tradnl"/>
        </w:rPr>
        <w:t>Serie El Terrón</w:t>
      </w:r>
    </w:p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tbl>
      <w:tblPr>
        <w:tblW w:w="900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887"/>
        <w:gridCol w:w="1132"/>
        <w:gridCol w:w="993"/>
        <w:gridCol w:w="992"/>
        <w:gridCol w:w="992"/>
        <w:gridCol w:w="992"/>
        <w:gridCol w:w="993"/>
        <w:gridCol w:w="1134"/>
      </w:tblGrid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ER7-103C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ind w:firstLine="70"/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N° de registro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10.419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Horizonte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B21t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B31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B32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02-15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25-37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45-55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66-75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85-100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110-120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3.77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0.78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0.07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0.01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C/N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BD7438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&lt; 2 µ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24.24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38.58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37.59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32.18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31.14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30.01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BD743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E       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20 µ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28.54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23.14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23.15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25.10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26.32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26.42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BD743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X     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2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67.91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55.66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54.49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58.60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59.51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60.99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BD7438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T   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50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2.65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2.79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3.39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U 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100-500 µ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6.34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4.44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5.14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6.36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6.64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5.45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BD7438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R          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 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500</w:t>
            </w:r>
            <w:r w:rsidR="00BD7438">
              <w:rPr>
                <w:rFonts w:ascii="Times New Roman" w:hAnsi="Times New Roman"/>
                <w:sz w:val="22"/>
                <w:szCs w:val="22"/>
                <w:lang w:val="es-ES_tradnl"/>
              </w:rPr>
              <w:t>-</w:t>
            </w: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0.12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A     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CO3Ca (%)  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H2O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6.7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7.2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7.4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7.3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ClK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5.5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pStyle w:val="Encabezado"/>
              <w:tabs>
                <w:tab w:val="clear" w:pos="4419"/>
                <w:tab w:val="clear" w:pos="8838"/>
              </w:tabs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54945">
              <w:rPr>
                <w:rFonts w:ascii="Times New Roman" w:hAnsi="Times New Roman"/>
                <w:sz w:val="22"/>
                <w:szCs w:val="22"/>
              </w:rPr>
              <w:t>Conductividad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554945">
              <w:rPr>
                <w:rFonts w:ascii="Times New Roman" w:hAnsi="Times New Roman"/>
                <w:sz w:val="22"/>
                <w:szCs w:val="22"/>
              </w:rPr>
              <w:t>eléctrica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554945">
              <w:rPr>
                <w:rFonts w:ascii="Times New Roman" w:hAnsi="Times New Roman"/>
                <w:sz w:val="22"/>
                <w:szCs w:val="22"/>
              </w:rPr>
              <w:t>mmhos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</w:rPr>
              <w:t>/cm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Capacidad de </w:t>
            </w:r>
          </w:p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proofErr w:type="gramStart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interc</w:t>
            </w:r>
            <w:proofErr w:type="spellEnd"/>
            <w:proofErr w:type="gramEnd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. catiónico </w:t>
            </w:r>
          </w:p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(</w:t>
            </w:r>
            <w:proofErr w:type="spellStart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m.e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./100 g) = valor T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18.64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28.80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27.82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24.80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24.63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24.44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14.22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20.14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20.00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19.23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18.20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18.60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Mg++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5.00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1.40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0.44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t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K+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0.84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0.90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proofErr w:type="spellStart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1.53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</w:rPr>
              <w:t>2.40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i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S</w:t>
            </w: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N.D.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8.21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7.64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7.91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8.87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8.93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554945">
              <w:rPr>
                <w:rFonts w:ascii="Times New Roman" w:hAnsi="Times New Roman"/>
                <w:color w:val="000000"/>
                <w:sz w:val="22"/>
                <w:szCs w:val="22"/>
              </w:rPr>
              <w:t>9.82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26.52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36.69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34.43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30.54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28.35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</w:p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27.86</w:t>
            </w:r>
          </w:p>
        </w:tc>
      </w:tr>
      <w:tr w:rsidR="00554945" w:rsidRPr="00554945" w:rsidTr="005C46AB">
        <w:tblPrEx>
          <w:tblCellMar>
            <w:top w:w="0" w:type="dxa"/>
            <w:bottom w:w="0" w:type="dxa"/>
          </w:tblCellMar>
        </w:tblPrEx>
        <w:tc>
          <w:tcPr>
            <w:tcW w:w="2905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both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Fósforo asimilable (ppm)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4.96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3.01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54945" w:rsidRPr="00554945" w:rsidRDefault="00554945" w:rsidP="00554945">
            <w:pPr>
              <w:jc w:val="center"/>
              <w:rPr>
                <w:rFonts w:ascii="Times New Roman" w:hAnsi="Times New Roman"/>
                <w:sz w:val="22"/>
                <w:szCs w:val="22"/>
                <w:lang w:val="es-ES_tradnl"/>
              </w:rPr>
            </w:pPr>
            <w:r w:rsidRPr="00554945">
              <w:rPr>
                <w:rFonts w:ascii="Times New Roman" w:hAnsi="Times New Roman"/>
                <w:sz w:val="22"/>
                <w:szCs w:val="22"/>
                <w:lang w:val="es-ES_tradnl"/>
              </w:rPr>
              <w:t>0.0</w:t>
            </w:r>
          </w:p>
        </w:tc>
      </w:tr>
    </w:tbl>
    <w:p w:rsidR="00554945" w:rsidRPr="00554945" w:rsidRDefault="00554945" w:rsidP="00554945">
      <w:pPr>
        <w:jc w:val="both"/>
        <w:rPr>
          <w:rFonts w:ascii="Times New Roman" w:hAnsi="Times New Roman"/>
          <w:sz w:val="22"/>
          <w:szCs w:val="22"/>
          <w:lang w:val="es-ES_tradnl"/>
        </w:rPr>
      </w:pPr>
    </w:p>
    <w:p w:rsidR="00610974" w:rsidRPr="00554945" w:rsidRDefault="00610974" w:rsidP="00554945">
      <w:pPr>
        <w:rPr>
          <w:rFonts w:ascii="Times New Roman" w:hAnsi="Times New Roman"/>
          <w:sz w:val="22"/>
          <w:szCs w:val="22"/>
        </w:rPr>
      </w:pPr>
    </w:p>
    <w:sectPr w:rsidR="00610974" w:rsidRPr="00554945" w:rsidSect="00554945">
      <w:type w:val="continuous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ixar ASC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45"/>
    <w:rsid w:val="00051BCE"/>
    <w:rsid w:val="00554945"/>
    <w:rsid w:val="00610974"/>
    <w:rsid w:val="00B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45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54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4945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554945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5494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945"/>
    <w:pPr>
      <w:widowControl w:val="0"/>
      <w:autoSpaceDE w:val="0"/>
      <w:autoSpaceDN w:val="0"/>
      <w:adjustRightInd w:val="0"/>
      <w:spacing w:after="0" w:line="240" w:lineRule="auto"/>
    </w:pPr>
    <w:rPr>
      <w:rFonts w:ascii="Vixar ASCI" w:eastAsia="Times New Roman" w:hAnsi="Vixar ASCI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5494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54945"/>
    <w:rPr>
      <w:rFonts w:ascii="Vixar ASCI" w:eastAsia="Times New Roman" w:hAnsi="Vixar ASCI" w:cs="Times New Roman"/>
      <w:sz w:val="20"/>
      <w:szCs w:val="24"/>
      <w:lang w:val="en-US" w:eastAsia="es-ES"/>
    </w:rPr>
  </w:style>
  <w:style w:type="paragraph" w:styleId="Textoindependiente">
    <w:name w:val="Body Text"/>
    <w:basedOn w:val="Normal"/>
    <w:link w:val="TextoindependienteCar"/>
    <w:rsid w:val="00554945"/>
    <w:pPr>
      <w:autoSpaceDE/>
      <w:autoSpaceDN/>
      <w:adjustRightInd/>
      <w:jc w:val="both"/>
    </w:pPr>
    <w:rPr>
      <w:rFonts w:ascii="Times New Roman" w:hAnsi="Times New Roman"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554945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767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2014-02-10T13:29:00Z</dcterms:created>
  <dcterms:modified xsi:type="dcterms:W3CDTF">2014-02-10T14:04:00Z</dcterms:modified>
</cp:coreProperties>
</file>