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05" w:rsidRPr="00F01105" w:rsidRDefault="00F01105" w:rsidP="00F01105">
      <w:pPr>
        <w:pStyle w:val="Encabezado"/>
        <w:tabs>
          <w:tab w:val="clear" w:pos="4419"/>
          <w:tab w:val="clear" w:pos="8838"/>
        </w:tabs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szCs w:val="24"/>
        </w:rPr>
      </w:pPr>
      <w:r w:rsidRPr="00F01105">
        <w:rPr>
          <w:b/>
          <w:szCs w:val="24"/>
        </w:rPr>
        <w:t xml:space="preserve">SERIE EL TRIANGULO  </w:t>
      </w:r>
      <w:r w:rsidRPr="00F01105">
        <w:rPr>
          <w:szCs w:val="24"/>
        </w:rPr>
        <w:t xml:space="preserve">                                   </w:t>
      </w:r>
      <w:r>
        <w:rPr>
          <w:szCs w:val="24"/>
        </w:rPr>
        <w:t xml:space="preserve">                            </w:t>
      </w:r>
      <w:r w:rsidRPr="00F01105">
        <w:rPr>
          <w:szCs w:val="24"/>
        </w:rPr>
        <w:t xml:space="preserve">                 Símbolo</w:t>
      </w:r>
      <w:r w:rsidRPr="00F01105">
        <w:rPr>
          <w:b/>
          <w:szCs w:val="24"/>
        </w:rPr>
        <w:t>: ET</w:t>
      </w:r>
    </w:p>
    <w:p w:rsidR="00F01105" w:rsidRPr="00F01105" w:rsidRDefault="00F01105" w:rsidP="00F01105">
      <w:pPr>
        <w:pStyle w:val="Textoindependiente"/>
        <w:rPr>
          <w:sz w:val="22"/>
          <w:szCs w:val="22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  <w:tab w:val="right" w:pos="9025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F01105">
        <w:rPr>
          <w:sz w:val="22"/>
          <w:szCs w:val="22"/>
          <w:lang w:val="es-ES_tradnl"/>
        </w:rPr>
        <w:t>montmorillonítica</w:t>
      </w:r>
      <w:proofErr w:type="spellEnd"/>
      <w:r w:rsidRPr="00F01105">
        <w:rPr>
          <w:sz w:val="22"/>
          <w:szCs w:val="22"/>
          <w:lang w:val="es-ES_tradnl"/>
        </w:rPr>
        <w:t xml:space="preserve">, ligeramente alcalina, térmica" de los </w:t>
      </w:r>
      <w:proofErr w:type="spellStart"/>
      <w:r w:rsidRPr="00F01105">
        <w:rPr>
          <w:sz w:val="22"/>
          <w:szCs w:val="22"/>
          <w:u w:val="single"/>
          <w:lang w:val="es-ES_tradnl"/>
        </w:rPr>
        <w:t>Peludertes</w:t>
      </w:r>
      <w:proofErr w:type="spellEnd"/>
      <w:r w:rsidRPr="00F0110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F01105">
        <w:rPr>
          <w:sz w:val="22"/>
          <w:szCs w:val="22"/>
          <w:u w:val="single"/>
          <w:lang w:val="es-ES_tradnl"/>
        </w:rPr>
        <w:t>árgicos</w:t>
      </w:r>
      <w:proofErr w:type="spellEnd"/>
      <w:r w:rsidRPr="00F01105">
        <w:rPr>
          <w:sz w:val="22"/>
          <w:szCs w:val="22"/>
          <w:u w:val="single"/>
          <w:lang w:val="es-ES_tradnl"/>
        </w:rPr>
        <w:t xml:space="preserve"> crómicos</w:t>
      </w:r>
      <w:r w:rsidRPr="00F01105">
        <w:rPr>
          <w:sz w:val="22"/>
          <w:szCs w:val="22"/>
          <w:lang w:val="es-ES_tradnl"/>
        </w:rPr>
        <w:t xml:space="preserve"> (</w:t>
      </w:r>
      <w:proofErr w:type="spellStart"/>
      <w:r w:rsidRPr="00F01105">
        <w:rPr>
          <w:sz w:val="22"/>
          <w:szCs w:val="22"/>
          <w:lang w:val="es-ES_tradnl"/>
        </w:rPr>
        <w:t>Vertisol</w:t>
      </w:r>
      <w:proofErr w:type="spellEnd"/>
      <w:r w:rsidRPr="00F01105">
        <w:rPr>
          <w:sz w:val="22"/>
          <w:szCs w:val="22"/>
          <w:lang w:val="es-ES_tradnl"/>
        </w:rPr>
        <w:t xml:space="preserve"> sin </w:t>
      </w:r>
      <w:proofErr w:type="spellStart"/>
      <w:r w:rsidRPr="00F01105">
        <w:rPr>
          <w:sz w:val="22"/>
          <w:szCs w:val="22"/>
          <w:lang w:val="es-ES_tradnl"/>
        </w:rPr>
        <w:t>gilgai</w:t>
      </w:r>
      <w:proofErr w:type="spellEnd"/>
      <w:r w:rsidRPr="00F01105">
        <w:rPr>
          <w:sz w:val="22"/>
          <w:szCs w:val="22"/>
          <w:lang w:val="es-ES_tradnl"/>
        </w:rPr>
        <w:t xml:space="preserve"> y con B2 textural).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No muestra un relieve </w:t>
      </w:r>
      <w:proofErr w:type="spellStart"/>
      <w:r w:rsidRPr="00F01105">
        <w:rPr>
          <w:sz w:val="22"/>
          <w:szCs w:val="22"/>
          <w:lang w:val="es-ES_tradnl"/>
        </w:rPr>
        <w:t>gilgai</w:t>
      </w:r>
      <w:proofErr w:type="spellEnd"/>
      <w:r w:rsidRPr="00F01105">
        <w:rPr>
          <w:sz w:val="22"/>
          <w:szCs w:val="22"/>
          <w:lang w:val="es-ES_tradnl"/>
        </w:rPr>
        <w:t xml:space="preserve"> visible en el terreno, pero sí muy tenue en la fotografía aérea y en el perfil, que es negro hasta 40-80 cm, según su posición. Está ligeramente erosionado; es moderadamente bien drenado y ligeramente alcalino en el subsuelo. Tiene un </w:t>
      </w:r>
      <w:proofErr w:type="spellStart"/>
      <w:r w:rsidRPr="00F01105">
        <w:rPr>
          <w:sz w:val="22"/>
          <w:szCs w:val="22"/>
          <w:lang w:val="es-ES_tradnl"/>
        </w:rPr>
        <w:t>epipedón</w:t>
      </w:r>
      <w:proofErr w:type="spellEnd"/>
      <w:r w:rsidRPr="00F01105">
        <w:rPr>
          <w:sz w:val="22"/>
          <w:szCs w:val="22"/>
          <w:lang w:val="es-ES_tradnl"/>
        </w:rPr>
        <w:t xml:space="preserve"> arcillo-limoso bien estructurado por el "</w:t>
      </w:r>
      <w:proofErr w:type="spellStart"/>
      <w:r w:rsidRPr="00F01105">
        <w:rPr>
          <w:sz w:val="22"/>
          <w:szCs w:val="22"/>
          <w:lang w:val="es-ES_tradnl"/>
        </w:rPr>
        <w:t>self-mulching</w:t>
      </w:r>
      <w:proofErr w:type="spellEnd"/>
      <w:r w:rsidRPr="00F01105">
        <w:rPr>
          <w:sz w:val="22"/>
          <w:szCs w:val="22"/>
          <w:lang w:val="es-ES_tradnl"/>
        </w:rPr>
        <w:t>" (</w:t>
      </w:r>
      <w:proofErr w:type="spellStart"/>
      <w:r w:rsidRPr="00F01105">
        <w:rPr>
          <w:sz w:val="22"/>
          <w:szCs w:val="22"/>
          <w:lang w:val="es-ES_tradnl"/>
        </w:rPr>
        <w:t>autoestructuración</w:t>
      </w:r>
      <w:proofErr w:type="spellEnd"/>
      <w:r w:rsidRPr="00F01105">
        <w:rPr>
          <w:sz w:val="22"/>
          <w:szCs w:val="22"/>
          <w:lang w:val="es-ES_tradnl"/>
        </w:rPr>
        <w:t xml:space="preserve">) y un horizonte B2 </w:t>
      </w:r>
      <w:proofErr w:type="spellStart"/>
      <w:r w:rsidRPr="00F01105">
        <w:rPr>
          <w:sz w:val="22"/>
          <w:szCs w:val="22"/>
          <w:lang w:val="es-ES_tradnl"/>
        </w:rPr>
        <w:t>argílico</w:t>
      </w:r>
      <w:proofErr w:type="spellEnd"/>
      <w:r w:rsidRPr="00F01105">
        <w:rPr>
          <w:sz w:val="22"/>
          <w:szCs w:val="22"/>
          <w:lang w:val="es-ES_tradnl"/>
        </w:rPr>
        <w:t>, arcillo-limoso; las concreciones de calcáreo aparecen entre 50-90 cm.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>Son suelos desarrollados en materiales arcillo-limosos ("limos calcáreos").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u w:val="single"/>
          <w:lang w:val="es-ES_tradnl"/>
        </w:rPr>
        <w:t>Perfil tipo:</w:t>
      </w:r>
      <w:r w:rsidRPr="00F01105">
        <w:rPr>
          <w:sz w:val="22"/>
          <w:szCs w:val="22"/>
          <w:lang w:val="es-ES_tradnl"/>
        </w:rPr>
        <w:t xml:space="preserve"> ER2-9C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lang w:val="es-ES_tradnl"/>
        </w:rPr>
        <w:t>Fecha</w:t>
      </w:r>
      <w:r w:rsidRPr="00F01105">
        <w:rPr>
          <w:sz w:val="22"/>
          <w:szCs w:val="22"/>
          <w:lang w:val="es-ES_tradnl"/>
        </w:rPr>
        <w:t>: 23-IX-1970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lang w:val="es-ES_tradnl"/>
        </w:rPr>
        <w:t>Ubicación</w:t>
      </w:r>
      <w:r w:rsidRPr="00F01105">
        <w:rPr>
          <w:sz w:val="22"/>
          <w:szCs w:val="22"/>
          <w:lang w:val="es-ES_tradnl"/>
        </w:rPr>
        <w:t xml:space="preserve">: </w:t>
      </w:r>
      <w:proofErr w:type="spellStart"/>
      <w:r w:rsidRPr="00F01105">
        <w:rPr>
          <w:sz w:val="22"/>
          <w:szCs w:val="22"/>
          <w:lang w:val="es-ES_tradnl"/>
        </w:rPr>
        <w:t>Ea</w:t>
      </w:r>
      <w:proofErr w:type="spellEnd"/>
      <w:r w:rsidRPr="00F01105">
        <w:rPr>
          <w:sz w:val="22"/>
          <w:szCs w:val="22"/>
          <w:lang w:val="es-ES_tradnl"/>
        </w:rPr>
        <w:t xml:space="preserve">. La Emiliana (foto IR 412-35) - </w:t>
      </w:r>
      <w:proofErr w:type="spellStart"/>
      <w:r w:rsidRPr="00F01105">
        <w:rPr>
          <w:sz w:val="22"/>
          <w:szCs w:val="22"/>
          <w:lang w:val="es-ES_tradnl"/>
        </w:rPr>
        <w:t>Dpto.Gualeguay</w:t>
      </w:r>
      <w:proofErr w:type="spellEnd"/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lang w:val="es-ES_tradnl"/>
        </w:rPr>
        <w:t>Reconocedores</w:t>
      </w:r>
      <w:r w:rsidRPr="00F01105">
        <w:rPr>
          <w:sz w:val="22"/>
          <w:szCs w:val="22"/>
          <w:lang w:val="es-ES_tradnl"/>
        </w:rPr>
        <w:t xml:space="preserve">: C.J. </w:t>
      </w:r>
      <w:proofErr w:type="spellStart"/>
      <w:r w:rsidRPr="00F01105">
        <w:rPr>
          <w:sz w:val="22"/>
          <w:szCs w:val="22"/>
          <w:lang w:val="es-ES_tradnl"/>
        </w:rPr>
        <w:t>Vesco</w:t>
      </w:r>
      <w:proofErr w:type="spellEnd"/>
      <w:r w:rsidRPr="00F01105">
        <w:rPr>
          <w:sz w:val="22"/>
          <w:szCs w:val="22"/>
          <w:lang w:val="es-ES_tradnl"/>
        </w:rPr>
        <w:t xml:space="preserve">; G.W. </w:t>
      </w:r>
      <w:proofErr w:type="spellStart"/>
      <w:r w:rsidRPr="00F01105">
        <w:rPr>
          <w:sz w:val="22"/>
          <w:szCs w:val="22"/>
          <w:lang w:val="es-ES_tradnl"/>
        </w:rPr>
        <w:t>Barneveld</w:t>
      </w:r>
      <w:proofErr w:type="spellEnd"/>
      <w:r w:rsidRPr="00F01105">
        <w:rPr>
          <w:sz w:val="22"/>
          <w:szCs w:val="22"/>
          <w:lang w:val="es-ES_tradnl"/>
        </w:rPr>
        <w:t>.</w:t>
      </w: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</w:p>
    <w:p w:rsidR="00F01105" w:rsidRPr="00F01105" w:rsidRDefault="00F01105" w:rsidP="00F01105">
      <w:pPr>
        <w:jc w:val="both"/>
        <w:rPr>
          <w:sz w:val="22"/>
          <w:szCs w:val="22"/>
          <w:lang w:val="es-ES_tradnl"/>
        </w:rPr>
      </w:pPr>
      <w:proofErr w:type="spellStart"/>
      <w:r w:rsidRPr="00F01105">
        <w:rPr>
          <w:b/>
          <w:bCs/>
          <w:sz w:val="22"/>
          <w:szCs w:val="22"/>
          <w:lang w:val="es-ES_tradnl"/>
        </w:rPr>
        <w:t>Ap</w:t>
      </w:r>
      <w:proofErr w:type="spellEnd"/>
      <w:r>
        <w:rPr>
          <w:b/>
          <w:bCs/>
          <w:sz w:val="22"/>
          <w:szCs w:val="22"/>
          <w:lang w:val="es-ES_tradnl"/>
        </w:rPr>
        <w:t xml:space="preserve">: </w:t>
      </w:r>
      <w:r w:rsidRPr="00F01105">
        <w:rPr>
          <w:sz w:val="22"/>
          <w:szCs w:val="22"/>
          <w:lang w:val="es-ES_tradnl"/>
        </w:rPr>
        <w:t xml:space="preserve">00-15 cm; negro (10YR 2/2) en húmedo; arcillo-limoso; estructura granular y en bloques </w:t>
      </w:r>
      <w:proofErr w:type="spellStart"/>
      <w:r w:rsidRPr="00F01105">
        <w:rPr>
          <w:sz w:val="22"/>
          <w:szCs w:val="22"/>
          <w:lang w:val="es-ES_tradnl"/>
        </w:rPr>
        <w:t>subangulares</w:t>
      </w:r>
      <w:proofErr w:type="spellEnd"/>
      <w:r w:rsidRPr="00F01105">
        <w:rPr>
          <w:sz w:val="22"/>
          <w:szCs w:val="22"/>
          <w:lang w:val="es-ES_tradnl"/>
        </w:rPr>
        <w:t xml:space="preserve"> medios, moderados; muy duro en seco, firme en húmedo; barnices ("</w:t>
      </w:r>
      <w:proofErr w:type="spellStart"/>
      <w:r w:rsidRPr="00F01105">
        <w:rPr>
          <w:sz w:val="22"/>
          <w:szCs w:val="22"/>
          <w:lang w:val="es-ES_tradnl"/>
        </w:rPr>
        <w:t>clay-humic</w:t>
      </w:r>
      <w:proofErr w:type="spellEnd"/>
      <w:r w:rsidRPr="00F01105">
        <w:rPr>
          <w:sz w:val="22"/>
          <w:szCs w:val="22"/>
          <w:lang w:val="es-ES_tradnl"/>
        </w:rPr>
        <w:t>") escasos, finos; moteados de hierro-manganeso comunes finos y precisos; límite claro, suave.</w:t>
      </w: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lang w:val="es-ES_tradnl"/>
        </w:rPr>
        <w:t>B21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F01105">
        <w:rPr>
          <w:sz w:val="22"/>
          <w:szCs w:val="22"/>
          <w:lang w:val="es-ES_tradnl"/>
        </w:rPr>
        <w:t>15-42 cm; negro (10YR 2/1) en húmedo; arcillo-limoso; estructura en bloques angulares irregulares y en bloques cuneiformes medios, moderados con tendencia a prismas compuestos irregulares; duro en seco, friable en húmedo; barnices ("</w:t>
      </w:r>
      <w:proofErr w:type="spellStart"/>
      <w:r w:rsidRPr="00F01105">
        <w:rPr>
          <w:sz w:val="22"/>
          <w:szCs w:val="22"/>
          <w:lang w:val="es-ES_tradnl"/>
        </w:rPr>
        <w:t>clay-humic</w:t>
      </w:r>
      <w:proofErr w:type="spellEnd"/>
      <w:r w:rsidRPr="00F01105">
        <w:rPr>
          <w:sz w:val="22"/>
          <w:szCs w:val="22"/>
          <w:lang w:val="es-ES_tradnl"/>
        </w:rPr>
        <w:t>") escasos finos; caras de fricción ("</w:t>
      </w:r>
      <w:proofErr w:type="spellStart"/>
      <w:r w:rsidRPr="00F01105">
        <w:rPr>
          <w:sz w:val="22"/>
          <w:szCs w:val="22"/>
          <w:lang w:val="es-ES_tradnl"/>
        </w:rPr>
        <w:t>slickensides</w:t>
      </w:r>
      <w:proofErr w:type="spellEnd"/>
      <w:r w:rsidRPr="00F01105">
        <w:rPr>
          <w:sz w:val="22"/>
          <w:szCs w:val="22"/>
          <w:lang w:val="es-ES_tradnl"/>
        </w:rPr>
        <w:t>") intersectadas, comunes finas; moteados de hierro-manganeso comunes finos y precisos; límite gradual, suave.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lang w:val="es-ES_tradnl"/>
        </w:rPr>
        <w:t>B22t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F01105">
        <w:rPr>
          <w:sz w:val="22"/>
          <w:szCs w:val="22"/>
          <w:lang w:val="es-ES_tradnl"/>
        </w:rPr>
        <w:t xml:space="preserve">42-89 cm; gris muy oscuro (10YR 3/1) en húmedo; arcillo-limoso; estructura en bloques angulares irregulares medios, débiles con tendencia a prismas compuestos irregulares; duro en seco friable en húmedo; </w:t>
      </w:r>
      <w:proofErr w:type="spellStart"/>
      <w:r w:rsidRPr="00F01105">
        <w:rPr>
          <w:sz w:val="22"/>
          <w:szCs w:val="22"/>
          <w:lang w:val="es-ES_tradnl"/>
        </w:rPr>
        <w:t>microconcreciones</w:t>
      </w:r>
      <w:proofErr w:type="spellEnd"/>
      <w:r w:rsidRPr="00F01105">
        <w:rPr>
          <w:sz w:val="22"/>
          <w:szCs w:val="22"/>
          <w:lang w:val="es-ES_tradnl"/>
        </w:rPr>
        <w:t xml:space="preserve"> calcáreas comunes, duras, desde de los 73 cm de profundidad; barnices ("</w:t>
      </w:r>
      <w:proofErr w:type="spellStart"/>
      <w:r w:rsidRPr="00F01105">
        <w:rPr>
          <w:sz w:val="22"/>
          <w:szCs w:val="22"/>
          <w:lang w:val="es-ES_tradnl"/>
        </w:rPr>
        <w:t>clay-humic</w:t>
      </w:r>
      <w:proofErr w:type="spellEnd"/>
      <w:r w:rsidRPr="00F01105">
        <w:rPr>
          <w:sz w:val="22"/>
          <w:szCs w:val="22"/>
          <w:lang w:val="es-ES_tradnl"/>
        </w:rPr>
        <w:t>") escasos finos; caras de fricción ("</w:t>
      </w:r>
      <w:proofErr w:type="spellStart"/>
      <w:r w:rsidRPr="00F01105">
        <w:rPr>
          <w:sz w:val="22"/>
          <w:szCs w:val="22"/>
          <w:lang w:val="es-ES_tradnl"/>
        </w:rPr>
        <w:t>slickensides</w:t>
      </w:r>
      <w:proofErr w:type="spellEnd"/>
      <w:r w:rsidRPr="00F01105">
        <w:rPr>
          <w:sz w:val="22"/>
          <w:szCs w:val="22"/>
          <w:lang w:val="es-ES_tradnl"/>
        </w:rPr>
        <w:t>") intersectadas, comunes y finas; moteados de hierro-manganeso comunes, finos y precisos; límite gradual, ondulado.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lang w:val="es-ES_tradnl"/>
        </w:rPr>
        <w:t>B3ca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F01105">
        <w:rPr>
          <w:sz w:val="22"/>
          <w:szCs w:val="22"/>
          <w:lang w:val="es-ES_tradnl"/>
        </w:rPr>
        <w:t>89-135 cm; pardo oscuro (7.5YR 3/2) en húmedo; arcillo-limoso; estructura en bloques angulares irregulares medios, débiles; duro en seco friable en húmedo; escasa cantidad de carbonatos libres en la masa; concreciones de calcáreo abundantes, de hasta 1 cm, duras; barnices ("</w:t>
      </w:r>
      <w:proofErr w:type="spellStart"/>
      <w:r w:rsidRPr="00F01105">
        <w:rPr>
          <w:sz w:val="22"/>
          <w:szCs w:val="22"/>
          <w:lang w:val="es-ES_tradnl"/>
        </w:rPr>
        <w:t>clay-humic</w:t>
      </w:r>
      <w:proofErr w:type="spellEnd"/>
      <w:r w:rsidRPr="00F01105">
        <w:rPr>
          <w:sz w:val="22"/>
          <w:szCs w:val="22"/>
          <w:lang w:val="es-ES_tradnl"/>
        </w:rPr>
        <w:t>") escasos; caras de fricción ("</w:t>
      </w:r>
      <w:proofErr w:type="spellStart"/>
      <w:r w:rsidRPr="00F01105">
        <w:rPr>
          <w:sz w:val="22"/>
          <w:szCs w:val="22"/>
          <w:lang w:val="es-ES_tradnl"/>
        </w:rPr>
        <w:t>slickensides</w:t>
      </w:r>
      <w:proofErr w:type="spellEnd"/>
      <w:r w:rsidRPr="00F01105">
        <w:rPr>
          <w:sz w:val="22"/>
          <w:szCs w:val="22"/>
          <w:lang w:val="es-ES_tradnl"/>
        </w:rPr>
        <w:t>") comunes, muy gruesas; moteados de hierro-manganeso comunes, finos y precisos; límite difuso, suave.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-1440"/>
          <w:tab w:val="left" w:pos="8647"/>
        </w:tabs>
        <w:jc w:val="both"/>
        <w:rPr>
          <w:sz w:val="22"/>
          <w:szCs w:val="22"/>
          <w:lang w:val="es-ES_tradnl"/>
        </w:rPr>
      </w:pPr>
      <w:proofErr w:type="spellStart"/>
      <w:r w:rsidRPr="00F01105">
        <w:rPr>
          <w:b/>
          <w:bCs/>
          <w:sz w:val="22"/>
          <w:szCs w:val="22"/>
          <w:lang w:val="es-ES_tradnl"/>
        </w:rPr>
        <w:t>Cca</w:t>
      </w:r>
      <w:proofErr w:type="spellEnd"/>
      <w:r>
        <w:rPr>
          <w:b/>
          <w:bCs/>
          <w:sz w:val="22"/>
          <w:szCs w:val="22"/>
          <w:lang w:val="es-ES_tradnl"/>
        </w:rPr>
        <w:t xml:space="preserve">: </w:t>
      </w:r>
      <w:r w:rsidRPr="00F01105">
        <w:rPr>
          <w:sz w:val="22"/>
          <w:szCs w:val="22"/>
          <w:lang w:val="es-ES_tradnl"/>
        </w:rPr>
        <w:t>135 cm+; pardo oscuro (7.5YR 4/2) en húmedo; arcillo-limoso; estructura masiva; duro en seco, friable en húmedo; escasa cantidad de carbonatos libre en la masa; concreciones de calcio abundantes, de hasta 1 cm, duras; barnices ("</w:t>
      </w:r>
      <w:proofErr w:type="spellStart"/>
      <w:r w:rsidRPr="00F01105">
        <w:rPr>
          <w:sz w:val="22"/>
          <w:szCs w:val="22"/>
          <w:lang w:val="es-ES_tradnl"/>
        </w:rPr>
        <w:t>clay-humic</w:t>
      </w:r>
      <w:proofErr w:type="spellEnd"/>
      <w:r w:rsidRPr="00F01105">
        <w:rPr>
          <w:sz w:val="22"/>
          <w:szCs w:val="22"/>
          <w:lang w:val="es-ES_tradnl"/>
        </w:rPr>
        <w:t>") comunes y finos; caras de fricción ("</w:t>
      </w:r>
      <w:proofErr w:type="spellStart"/>
      <w:r w:rsidRPr="00F01105">
        <w:rPr>
          <w:sz w:val="22"/>
          <w:szCs w:val="22"/>
          <w:lang w:val="es-ES_tradnl"/>
        </w:rPr>
        <w:t>slickensides</w:t>
      </w:r>
      <w:proofErr w:type="spellEnd"/>
      <w:r w:rsidRPr="00F01105">
        <w:rPr>
          <w:sz w:val="22"/>
          <w:szCs w:val="22"/>
          <w:lang w:val="es-ES_tradnl"/>
        </w:rPr>
        <w:t>") comunes y gruesas, disminuyendo en profundidad; moteados de hierro-manganeso comunes, finos y precisos.</w:t>
      </w:r>
    </w:p>
    <w:p w:rsidR="00F01105" w:rsidRP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u w:val="single"/>
          <w:lang w:val="es-ES_tradnl"/>
        </w:rPr>
        <w:lastRenderedPageBreak/>
        <w:t>Variabilidad de rasgos</w:t>
      </w:r>
    </w:p>
    <w:p w:rsidR="00F01105" w:rsidRPr="00F01105" w:rsidRDefault="00F01105" w:rsidP="00F01105">
      <w:pPr>
        <w:tabs>
          <w:tab w:val="left" w:pos="8647"/>
        </w:tabs>
        <w:ind w:firstLine="720"/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La variabilidad de rasgos está determinada principalmente  por dos procesos: uno es la expansión y contracción del material arcilloso que da lugar a la formación incipiente del </w:t>
      </w:r>
      <w:proofErr w:type="spellStart"/>
      <w:r w:rsidRPr="00F01105">
        <w:rPr>
          <w:sz w:val="22"/>
          <w:szCs w:val="22"/>
          <w:lang w:val="es-ES_tradnl"/>
        </w:rPr>
        <w:t>gilgai</w:t>
      </w:r>
      <w:proofErr w:type="spellEnd"/>
      <w:r w:rsidRPr="00F01105">
        <w:rPr>
          <w:sz w:val="22"/>
          <w:szCs w:val="22"/>
          <w:lang w:val="es-ES_tradnl"/>
        </w:rPr>
        <w:t xml:space="preserve"> (aunque no se manifiesta como un </w:t>
      </w:r>
      <w:proofErr w:type="spellStart"/>
      <w:r w:rsidRPr="00F01105">
        <w:rPr>
          <w:sz w:val="22"/>
          <w:szCs w:val="22"/>
          <w:lang w:val="es-ES_tradnl"/>
        </w:rPr>
        <w:t>microrrelieve</w:t>
      </w:r>
      <w:proofErr w:type="spellEnd"/>
      <w:r w:rsidRPr="00F01105">
        <w:rPr>
          <w:sz w:val="22"/>
          <w:szCs w:val="22"/>
          <w:lang w:val="es-ES_tradnl"/>
        </w:rPr>
        <w:t xml:space="preserve"> visible en el terreno) y el otro, la erosión.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En los altibajos del </w:t>
      </w:r>
      <w:proofErr w:type="spellStart"/>
      <w:r w:rsidRPr="00F01105">
        <w:rPr>
          <w:sz w:val="22"/>
          <w:szCs w:val="22"/>
          <w:lang w:val="es-ES_tradnl"/>
        </w:rPr>
        <w:t>gilgai</w:t>
      </w:r>
      <w:proofErr w:type="spellEnd"/>
      <w:r w:rsidRPr="00F01105">
        <w:rPr>
          <w:sz w:val="22"/>
          <w:szCs w:val="22"/>
          <w:lang w:val="es-ES_tradnl"/>
        </w:rPr>
        <w:t xml:space="preserve">, el </w:t>
      </w:r>
      <w:proofErr w:type="spellStart"/>
      <w:r w:rsidRPr="00F01105">
        <w:rPr>
          <w:sz w:val="22"/>
          <w:szCs w:val="22"/>
          <w:lang w:val="es-ES_tradnl"/>
        </w:rPr>
        <w:t>solum</w:t>
      </w:r>
      <w:proofErr w:type="spellEnd"/>
      <w:r w:rsidRPr="00F01105">
        <w:rPr>
          <w:sz w:val="22"/>
          <w:szCs w:val="22"/>
          <w:lang w:val="es-ES_tradnl"/>
        </w:rPr>
        <w:t xml:space="preserve"> tiene 80-140 cm. El </w:t>
      </w:r>
      <w:proofErr w:type="spellStart"/>
      <w:r w:rsidRPr="00F01105">
        <w:rPr>
          <w:sz w:val="22"/>
          <w:szCs w:val="22"/>
          <w:lang w:val="es-ES_tradnl"/>
        </w:rPr>
        <w:t>epipedón</w:t>
      </w:r>
      <w:proofErr w:type="spellEnd"/>
      <w:r w:rsidRPr="00F01105">
        <w:rPr>
          <w:sz w:val="22"/>
          <w:szCs w:val="22"/>
          <w:lang w:val="es-ES_tradnl"/>
        </w:rPr>
        <w:t xml:space="preserve"> varía de 15 a 22 cm, y generalmente está bien estructurado por el "</w:t>
      </w:r>
      <w:proofErr w:type="spellStart"/>
      <w:r w:rsidRPr="00F01105">
        <w:rPr>
          <w:sz w:val="22"/>
          <w:szCs w:val="22"/>
          <w:lang w:val="es-ES_tradnl"/>
        </w:rPr>
        <w:t>self-mulching</w:t>
      </w:r>
      <w:proofErr w:type="spellEnd"/>
      <w:r w:rsidRPr="00F01105">
        <w:rPr>
          <w:sz w:val="22"/>
          <w:szCs w:val="22"/>
          <w:lang w:val="es-ES_tradnl"/>
        </w:rPr>
        <w:t>"; en algunos casos se puede diferenciar un A1 y un B1.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Tiene 38-43% de arcilla, cantidad que puede ser menor (llegando a 32%). Esto se debe a la deposición y mezcla con materiales menos arcillosos y </w:t>
      </w:r>
      <w:proofErr w:type="spellStart"/>
      <w:r w:rsidRPr="00F01105">
        <w:rPr>
          <w:sz w:val="22"/>
          <w:szCs w:val="22"/>
          <w:lang w:val="es-ES_tradnl"/>
        </w:rPr>
        <w:t>loéssicos</w:t>
      </w:r>
      <w:proofErr w:type="spellEnd"/>
      <w:r w:rsidRPr="00F01105">
        <w:rPr>
          <w:sz w:val="22"/>
          <w:szCs w:val="22"/>
          <w:lang w:val="es-ES_tradnl"/>
        </w:rPr>
        <w:t xml:space="preserve"> de áreas vecinas más altas.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El horizonte B2, </w:t>
      </w:r>
      <w:proofErr w:type="spellStart"/>
      <w:r w:rsidRPr="00F01105">
        <w:rPr>
          <w:sz w:val="22"/>
          <w:szCs w:val="22"/>
          <w:lang w:val="es-ES_tradnl"/>
        </w:rPr>
        <w:t>argílico</w:t>
      </w:r>
      <w:proofErr w:type="spellEnd"/>
      <w:r w:rsidRPr="00F01105">
        <w:rPr>
          <w:sz w:val="22"/>
          <w:szCs w:val="22"/>
          <w:lang w:val="es-ES_tradnl"/>
        </w:rPr>
        <w:t xml:space="preserve">, está mejor expresado en el bajo del </w:t>
      </w:r>
      <w:proofErr w:type="spellStart"/>
      <w:r w:rsidRPr="00F01105">
        <w:rPr>
          <w:sz w:val="22"/>
          <w:szCs w:val="22"/>
          <w:lang w:val="es-ES_tradnl"/>
        </w:rPr>
        <w:t>gilgai</w:t>
      </w:r>
      <w:proofErr w:type="spellEnd"/>
      <w:r w:rsidRPr="00F01105">
        <w:rPr>
          <w:sz w:val="22"/>
          <w:szCs w:val="22"/>
          <w:lang w:val="es-ES_tradnl"/>
        </w:rPr>
        <w:t xml:space="preserve">. 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El porcentaje de arcilla generalmente incrementa en profundidad, variando de 44 a 50% en la parte superior y sobrepasando el 50% en su parte inferior. Comúnmente su estructura es prismática y rompe en bloques cuneiformes, pero los prismas pueden ser muy débiles. Los </w:t>
      </w:r>
      <w:proofErr w:type="spellStart"/>
      <w:r w:rsidRPr="00F01105">
        <w:rPr>
          <w:sz w:val="22"/>
          <w:szCs w:val="22"/>
          <w:lang w:val="es-ES_tradnl"/>
        </w:rPr>
        <w:t>cutanes</w:t>
      </w:r>
      <w:proofErr w:type="spellEnd"/>
      <w:r w:rsidRPr="00F01105">
        <w:rPr>
          <w:sz w:val="22"/>
          <w:szCs w:val="22"/>
          <w:lang w:val="es-ES_tradnl"/>
        </w:rPr>
        <w:t>, descriptos como "</w:t>
      </w:r>
      <w:proofErr w:type="spellStart"/>
      <w:r w:rsidRPr="00F01105">
        <w:rPr>
          <w:sz w:val="22"/>
          <w:szCs w:val="22"/>
          <w:lang w:val="es-ES_tradnl"/>
        </w:rPr>
        <w:t>clay-humic</w:t>
      </w:r>
      <w:proofErr w:type="spellEnd"/>
      <w:r w:rsidRPr="00F01105">
        <w:rPr>
          <w:sz w:val="22"/>
          <w:szCs w:val="22"/>
          <w:lang w:val="es-ES_tradnl"/>
        </w:rPr>
        <w:t xml:space="preserve"> </w:t>
      </w:r>
      <w:proofErr w:type="spellStart"/>
      <w:r w:rsidRPr="00F01105">
        <w:rPr>
          <w:sz w:val="22"/>
          <w:szCs w:val="22"/>
          <w:lang w:val="es-ES_tradnl"/>
        </w:rPr>
        <w:t>skins</w:t>
      </w:r>
      <w:proofErr w:type="spellEnd"/>
      <w:r w:rsidRPr="00F01105">
        <w:rPr>
          <w:sz w:val="22"/>
          <w:szCs w:val="22"/>
          <w:lang w:val="es-ES_tradnl"/>
        </w:rPr>
        <w:t>", probablemente son caras de fricción ("</w:t>
      </w:r>
      <w:proofErr w:type="spellStart"/>
      <w:r w:rsidRPr="00F01105">
        <w:rPr>
          <w:sz w:val="22"/>
          <w:szCs w:val="22"/>
          <w:lang w:val="es-ES_tradnl"/>
        </w:rPr>
        <w:t>slickensides</w:t>
      </w:r>
      <w:proofErr w:type="spellEnd"/>
      <w:r w:rsidRPr="00F01105">
        <w:rPr>
          <w:sz w:val="22"/>
          <w:szCs w:val="22"/>
          <w:lang w:val="es-ES_tradnl"/>
        </w:rPr>
        <w:t xml:space="preserve">"). Estas normalmente se encuentran a partir de 10-15 cm, hasta 150 cm o más en el material originario; son intersectadas en el B2 y, localmente, también en el B3. Cuando está seco, el B2 presenta grietas de hasta 2 cm de ancho, que se extienden hasta la base del </w:t>
      </w:r>
      <w:proofErr w:type="spellStart"/>
      <w:r w:rsidRPr="00F01105">
        <w:rPr>
          <w:sz w:val="22"/>
          <w:szCs w:val="22"/>
          <w:lang w:val="es-ES_tradnl"/>
        </w:rPr>
        <w:t>epipedón</w:t>
      </w:r>
      <w:proofErr w:type="spellEnd"/>
      <w:r w:rsidRPr="00F01105">
        <w:rPr>
          <w:sz w:val="22"/>
          <w:szCs w:val="22"/>
          <w:lang w:val="es-ES_tradnl"/>
        </w:rPr>
        <w:t xml:space="preserve"> o hasta la superficie cuando el perfil está erosionado.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El calcáreo, en concreciones duras de hasta 1 cm (y a veces 2 cm) aparece entre los 50-90 cm, generalmente a partir del B3 </w:t>
      </w:r>
      <w:proofErr w:type="spellStart"/>
      <w:r w:rsidRPr="00F01105">
        <w:rPr>
          <w:sz w:val="22"/>
          <w:szCs w:val="22"/>
          <w:lang w:val="es-ES_tradnl"/>
        </w:rPr>
        <w:t>ó</w:t>
      </w:r>
      <w:proofErr w:type="spellEnd"/>
      <w:r w:rsidRPr="00F01105">
        <w:rPr>
          <w:sz w:val="22"/>
          <w:szCs w:val="22"/>
          <w:lang w:val="es-ES_tradnl"/>
        </w:rPr>
        <w:t xml:space="preserve"> de la parte inferior del B22. 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El calcáreo libre recién se encuentra en el C, pero a veces hay a partir del B3. El porcentaje de calcáreo varía de 9 a 15% en el material más fino  que 2 </w:t>
      </w:r>
      <w:proofErr w:type="spellStart"/>
      <w:r w:rsidRPr="00F01105">
        <w:rPr>
          <w:sz w:val="22"/>
          <w:szCs w:val="22"/>
          <w:lang w:val="es-ES_tradnl"/>
        </w:rPr>
        <w:t>mm.</w:t>
      </w:r>
      <w:proofErr w:type="spellEnd"/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Es un suelo ligeramente alcalino con 7-15% de </w:t>
      </w:r>
      <w:proofErr w:type="spellStart"/>
      <w:r w:rsidRPr="00F01105">
        <w:rPr>
          <w:sz w:val="22"/>
          <w:szCs w:val="22"/>
          <w:lang w:val="es-ES_tradnl"/>
        </w:rPr>
        <w:t>Na</w:t>
      </w:r>
      <w:proofErr w:type="spellEnd"/>
      <w:r w:rsidRPr="00F01105">
        <w:rPr>
          <w:sz w:val="22"/>
          <w:szCs w:val="22"/>
          <w:lang w:val="es-ES_tradnl"/>
        </w:rPr>
        <w:t>+ intercambiable a partir del B3 o de la parte inferior del B2.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>El color del C varía de 7.5YR 5/4, 5/3, 4/4 hasta 4/2. En muchos lugares muestra gley fósil. Tiene alrededor de 45-48% de arcilla y normalmente 2-3% de arena (que puede llegar hasta el 8%).</w:t>
      </w:r>
    </w:p>
    <w:p w:rsid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u w:val="single"/>
          <w:lang w:val="es-ES_tradnl"/>
        </w:rPr>
        <w:t>Fases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pStyle w:val="Sangra3detindependiente"/>
        <w:ind w:firstLine="0"/>
        <w:rPr>
          <w:szCs w:val="22"/>
        </w:rPr>
      </w:pPr>
      <w:r w:rsidRPr="00F01105">
        <w:rPr>
          <w:szCs w:val="22"/>
        </w:rPr>
        <w:t>No se establecieron a nivel de reconocimiento. A escalas más detalladas podrían diferenciarse dos fases por erosión: fase moderadamente erosionada (ET.h2), y fase severamente erosionada (ET.h3).</w:t>
      </w:r>
    </w:p>
    <w:p w:rsid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F01105" w:rsidRPr="00F01105" w:rsidRDefault="00F01105" w:rsidP="00F01105">
      <w:pPr>
        <w:tabs>
          <w:tab w:val="left" w:pos="8647"/>
        </w:tabs>
        <w:ind w:firstLine="720"/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pStyle w:val="Sangra3detindependiente"/>
        <w:ind w:firstLine="0"/>
        <w:rPr>
          <w:szCs w:val="22"/>
        </w:rPr>
      </w:pPr>
      <w:r w:rsidRPr="00F01105">
        <w:rPr>
          <w:szCs w:val="22"/>
        </w:rPr>
        <w:t xml:space="preserve">Serie El Triángulo se parece a la serie San Julián I, aunque ésta es más arenosa (hasta 18%), tiene un </w:t>
      </w:r>
      <w:proofErr w:type="spellStart"/>
      <w:r w:rsidRPr="00F01105">
        <w:rPr>
          <w:szCs w:val="22"/>
        </w:rPr>
        <w:t>epipedón</w:t>
      </w:r>
      <w:proofErr w:type="spellEnd"/>
      <w:r w:rsidRPr="00F01105">
        <w:rPr>
          <w:szCs w:val="22"/>
        </w:rPr>
        <w:t xml:space="preserve"> menos arcilloso y no es alcalina.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u w:val="single"/>
          <w:lang w:val="es-ES_tradnl"/>
        </w:rPr>
      </w:pPr>
    </w:p>
    <w:p w:rsid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u w:val="single"/>
          <w:lang w:val="es-ES_tradnl"/>
        </w:rPr>
      </w:pPr>
    </w:p>
    <w:p w:rsid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u w:val="single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u w:val="single"/>
          <w:lang w:val="es-ES_tradnl"/>
        </w:rPr>
        <w:lastRenderedPageBreak/>
        <w:t>Drenaje</w:t>
      </w:r>
    </w:p>
    <w:p w:rsidR="00F01105" w:rsidRPr="00F01105" w:rsidRDefault="00F01105" w:rsidP="00F01105">
      <w:pPr>
        <w:tabs>
          <w:tab w:val="left" w:pos="8647"/>
        </w:tabs>
        <w:ind w:firstLine="720"/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pStyle w:val="Sangra3detindependiente"/>
        <w:ind w:firstLine="0"/>
        <w:rPr>
          <w:szCs w:val="22"/>
        </w:rPr>
      </w:pPr>
      <w:r w:rsidRPr="00F01105">
        <w:rPr>
          <w:szCs w:val="22"/>
        </w:rPr>
        <w:t xml:space="preserve">Moderadamente bien drenado; escurrimiento superficial moderado y a veces algo rápido; permeabilidad muy lenta; </w:t>
      </w:r>
      <w:proofErr w:type="spellStart"/>
      <w:r w:rsidRPr="00F01105">
        <w:rPr>
          <w:szCs w:val="22"/>
        </w:rPr>
        <w:t>napa</w:t>
      </w:r>
      <w:proofErr w:type="spellEnd"/>
      <w:r w:rsidRPr="00F01105">
        <w:rPr>
          <w:szCs w:val="22"/>
        </w:rPr>
        <w:t xml:space="preserve"> freática profunda. Grupo hidrológico D</w:t>
      </w:r>
    </w:p>
    <w:p w:rsid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b/>
          <w:bCs/>
          <w:sz w:val="22"/>
          <w:szCs w:val="22"/>
          <w:lang w:val="es-ES_tradnl"/>
        </w:rPr>
      </w:pPr>
      <w:r w:rsidRPr="00F01105">
        <w:rPr>
          <w:b/>
          <w:bCs/>
          <w:sz w:val="22"/>
          <w:szCs w:val="22"/>
          <w:u w:val="single"/>
          <w:lang w:val="es-ES_tradnl"/>
        </w:rPr>
        <w:t>Erosión</w:t>
      </w: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</w:p>
    <w:p w:rsidR="00F01105" w:rsidRPr="00F01105" w:rsidRDefault="00F01105" w:rsidP="00F01105">
      <w:pPr>
        <w:tabs>
          <w:tab w:val="left" w:pos="8647"/>
        </w:tabs>
        <w:jc w:val="both"/>
        <w:rPr>
          <w:sz w:val="22"/>
          <w:szCs w:val="22"/>
          <w:lang w:val="es-ES_tradnl"/>
        </w:rPr>
      </w:pPr>
      <w:r w:rsidRPr="00F01105">
        <w:rPr>
          <w:sz w:val="22"/>
          <w:szCs w:val="22"/>
          <w:lang w:val="es-ES_tradnl"/>
        </w:rPr>
        <w:t xml:space="preserve">La serie El Triángulo muestra una erosión actual laminar leve y, a veces, en pequeños surcos. Es posible que, en parte, ésta sea natural. El suelo corre gran peligro de erosión en surcos y cárcavas. La fase moderadamente erosionada muestra una erosión actual laminar, con un </w:t>
      </w:r>
      <w:proofErr w:type="spellStart"/>
      <w:r w:rsidRPr="00F01105">
        <w:rPr>
          <w:sz w:val="22"/>
          <w:szCs w:val="22"/>
          <w:lang w:val="es-ES_tradnl"/>
        </w:rPr>
        <w:t>epipedón</w:t>
      </w:r>
      <w:proofErr w:type="spellEnd"/>
      <w:r w:rsidRPr="00F01105">
        <w:rPr>
          <w:sz w:val="22"/>
          <w:szCs w:val="22"/>
          <w:lang w:val="es-ES_tradnl"/>
        </w:rPr>
        <w:t xml:space="preserve"> muy arcilloso de estructura mala y, cuando seco, con grietas hasta la superficie. Esta fase corre gran peligro de erosión en cárcavas. La severamente erosionada presenta surcos y pequeñas cárcavas, y tiene grave riesgo de erosión en cárcavas profundas.</w:t>
      </w:r>
    </w:p>
    <w:p w:rsidR="00F01105" w:rsidRPr="00F01105" w:rsidRDefault="00F01105" w:rsidP="00F01105">
      <w:pPr>
        <w:pStyle w:val="Textoindependiente"/>
        <w:rPr>
          <w:b/>
          <w:sz w:val="22"/>
          <w:szCs w:val="22"/>
          <w:u w:val="single"/>
        </w:rPr>
      </w:pPr>
      <w:r w:rsidRPr="00F01105">
        <w:rPr>
          <w:sz w:val="22"/>
          <w:szCs w:val="22"/>
          <w:lang w:val="es-ES_tradnl"/>
        </w:rPr>
        <w:br w:type="page"/>
      </w:r>
    </w:p>
    <w:p w:rsidR="00F01105" w:rsidRPr="00F01105" w:rsidRDefault="00F01105" w:rsidP="00F01105">
      <w:pPr>
        <w:pStyle w:val="Textoindependiente"/>
        <w:jc w:val="left"/>
        <w:rPr>
          <w:b/>
          <w:sz w:val="22"/>
          <w:szCs w:val="22"/>
          <w:u w:val="single"/>
        </w:rPr>
      </w:pPr>
      <w:r w:rsidRPr="00F01105">
        <w:rPr>
          <w:b/>
          <w:sz w:val="22"/>
          <w:szCs w:val="22"/>
          <w:u w:val="single"/>
        </w:rPr>
        <w:lastRenderedPageBreak/>
        <w:t>DATOS ANALITICOS DEL PERFIL TIPICO</w:t>
      </w:r>
    </w:p>
    <w:p w:rsidR="00F01105" w:rsidRPr="00F01105" w:rsidRDefault="00F01105" w:rsidP="00F01105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F01105" w:rsidRPr="00F01105" w:rsidRDefault="00F01105" w:rsidP="00F01105">
      <w:pPr>
        <w:pStyle w:val="Textoindependiente"/>
        <w:rPr>
          <w:b/>
          <w:sz w:val="22"/>
          <w:szCs w:val="22"/>
          <w:u w:val="single"/>
        </w:rPr>
      </w:pPr>
      <w:r w:rsidRPr="00F01105">
        <w:rPr>
          <w:b/>
          <w:sz w:val="22"/>
          <w:szCs w:val="22"/>
          <w:u w:val="single"/>
        </w:rPr>
        <w:t>Serie El Triángulo</w:t>
      </w:r>
    </w:p>
    <w:p w:rsidR="00F01105" w:rsidRPr="00F01105" w:rsidRDefault="00F01105" w:rsidP="00F01105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</w:tblGrid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b/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ER2-9C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153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154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155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156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157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Horizonte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01105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01105">
              <w:rPr>
                <w:sz w:val="22"/>
                <w:szCs w:val="22"/>
                <w:lang w:val="en-US"/>
              </w:rPr>
              <w:t>Cca</w:t>
            </w:r>
            <w:proofErr w:type="spellEnd"/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Profundidad  (cm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03-12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25-40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60-80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100-117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140-160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proofErr w:type="spellStart"/>
            <w:r w:rsidRPr="00F01105">
              <w:rPr>
                <w:sz w:val="22"/>
                <w:szCs w:val="22"/>
              </w:rPr>
              <w:t>Mat.orgánica</w:t>
            </w:r>
            <w:proofErr w:type="spellEnd"/>
            <w:r w:rsidRPr="00F0110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4.84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3.46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2.60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0.84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0.45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0.19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0.02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11</w:t>
            </w: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                        &lt;2</w:t>
            </w:r>
            <w:r w:rsidRPr="00F01105">
              <w:rPr>
                <w:sz w:val="22"/>
                <w:szCs w:val="22"/>
                <w:lang w:val="en-US"/>
              </w:rPr>
              <w:t xml:space="preserve">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42.30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46.70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51.30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48.30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48.20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</w:t>
            </w:r>
            <w:r w:rsidRPr="00F01105">
              <w:rPr>
                <w:sz w:val="22"/>
                <w:szCs w:val="22"/>
              </w:rPr>
              <w:t xml:space="preserve">    2-20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27.20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28.90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25.60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21.10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22.10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</w:t>
            </w:r>
            <w:r w:rsidRPr="00F01105">
              <w:rPr>
                <w:sz w:val="22"/>
                <w:szCs w:val="22"/>
              </w:rPr>
              <w:t xml:space="preserve">  20-50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54.90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50..80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46.20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48.90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49.70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 xml:space="preserve">T                  50-100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1.60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1.10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</w:t>
            </w:r>
            <w:r w:rsidRPr="00F01105">
              <w:rPr>
                <w:sz w:val="22"/>
                <w:szCs w:val="22"/>
              </w:rPr>
              <w:t xml:space="preserve"> 100-250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0.80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 xml:space="preserve">R                250-500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0.20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 </w:t>
            </w:r>
            <w:r w:rsidRPr="00F01105">
              <w:rPr>
                <w:sz w:val="22"/>
                <w:szCs w:val="22"/>
              </w:rPr>
              <w:t xml:space="preserve">  500-1000 </w:t>
            </w:r>
            <w:r w:rsidRPr="00F0110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-</w:t>
            </w: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9.2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9.0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8.3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8.3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F01105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6.9</w:t>
            </w: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Capacidad de intercambio catiónico (</w:t>
            </w:r>
            <w:proofErr w:type="spellStart"/>
            <w:r w:rsidRPr="00F01105">
              <w:rPr>
                <w:sz w:val="22"/>
                <w:szCs w:val="22"/>
              </w:rPr>
              <w:t>m.e</w:t>
            </w:r>
            <w:proofErr w:type="spellEnd"/>
            <w:r w:rsidRPr="00F01105">
              <w:rPr>
                <w:sz w:val="22"/>
                <w:szCs w:val="22"/>
              </w:rPr>
              <w:t>./100 g) =</w:t>
            </w:r>
          </w:p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41.90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45.00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45.70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44.80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43.50</w:t>
            </w: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32.90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35.10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N.D.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N.D.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N.D.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A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Mg++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N.D.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T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i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A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0.08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0.09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proofErr w:type="spellStart"/>
            <w:r w:rsidRPr="00F01105">
              <w:rPr>
                <w:sz w:val="22"/>
                <w:szCs w:val="22"/>
              </w:rPr>
              <w:t>Na</w:t>
            </w:r>
            <w:proofErr w:type="spellEnd"/>
            <w:r w:rsidRPr="00F01105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3.30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5.80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I</w:t>
            </w:r>
          </w:p>
        </w:tc>
        <w:tc>
          <w:tcPr>
            <w:tcW w:w="685" w:type="dxa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-</w:t>
            </w: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 xml:space="preserve">% </w:t>
            </w:r>
            <w:proofErr w:type="spellStart"/>
            <w:r w:rsidRPr="00F01105">
              <w:rPr>
                <w:sz w:val="22"/>
                <w:szCs w:val="22"/>
              </w:rPr>
              <w:t>Na</w:t>
            </w:r>
            <w:proofErr w:type="spellEnd"/>
            <w:r w:rsidRPr="00F01105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0.90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3.10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7.20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11.60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  <w:lang w:val="en-US"/>
              </w:rPr>
            </w:pPr>
            <w:r w:rsidRPr="00F01105">
              <w:rPr>
                <w:sz w:val="22"/>
                <w:szCs w:val="22"/>
                <w:lang w:val="en-US"/>
              </w:rPr>
              <w:t>13.30.</w:t>
            </w:r>
          </w:p>
        </w:tc>
      </w:tr>
      <w:tr w:rsidR="00F01105" w:rsidRPr="00F01105" w:rsidTr="00F011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F01105" w:rsidRPr="00F01105" w:rsidRDefault="00F01105" w:rsidP="00F01105">
            <w:pPr>
              <w:rPr>
                <w:sz w:val="22"/>
                <w:szCs w:val="22"/>
                <w:lang w:val="en-US"/>
              </w:rPr>
            </w:pPr>
          </w:p>
          <w:p w:rsidR="00F01105" w:rsidRPr="00F01105" w:rsidRDefault="00F01105" w:rsidP="00F01105">
            <w:pPr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 xml:space="preserve">Equivalente de humedad </w:t>
            </w:r>
            <w:bookmarkStart w:id="0" w:name="_GoBack"/>
            <w:bookmarkEnd w:id="0"/>
            <w:r w:rsidRPr="00F01105">
              <w:rPr>
                <w:sz w:val="22"/>
                <w:szCs w:val="22"/>
              </w:rPr>
              <w:t>(%)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39.20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45.20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53.50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60.70</w:t>
            </w:r>
          </w:p>
        </w:tc>
        <w:tc>
          <w:tcPr>
            <w:tcW w:w="1134" w:type="dxa"/>
          </w:tcPr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</w:p>
          <w:p w:rsidR="00F01105" w:rsidRPr="00F01105" w:rsidRDefault="00F01105" w:rsidP="00F01105">
            <w:pPr>
              <w:jc w:val="center"/>
              <w:rPr>
                <w:sz w:val="22"/>
                <w:szCs w:val="22"/>
              </w:rPr>
            </w:pPr>
            <w:r w:rsidRPr="00F01105">
              <w:rPr>
                <w:sz w:val="22"/>
                <w:szCs w:val="22"/>
              </w:rPr>
              <w:t>58.80</w:t>
            </w:r>
          </w:p>
        </w:tc>
      </w:tr>
    </w:tbl>
    <w:p w:rsidR="00F01105" w:rsidRPr="00F01105" w:rsidRDefault="00F01105" w:rsidP="00F01105">
      <w:pPr>
        <w:rPr>
          <w:sz w:val="22"/>
          <w:szCs w:val="22"/>
        </w:rPr>
      </w:pPr>
    </w:p>
    <w:p w:rsidR="00F01105" w:rsidRPr="00F01105" w:rsidRDefault="00F01105" w:rsidP="00F01105">
      <w:pPr>
        <w:rPr>
          <w:sz w:val="22"/>
          <w:szCs w:val="22"/>
        </w:rPr>
      </w:pPr>
      <w:r w:rsidRPr="00F01105">
        <w:rPr>
          <w:sz w:val="22"/>
          <w:szCs w:val="22"/>
        </w:rPr>
        <w:t>N.D. = No determinado</w:t>
      </w:r>
    </w:p>
    <w:p w:rsidR="00D10285" w:rsidRPr="00F01105" w:rsidRDefault="00D10285" w:rsidP="00F01105">
      <w:pPr>
        <w:rPr>
          <w:sz w:val="22"/>
          <w:szCs w:val="22"/>
        </w:rPr>
      </w:pPr>
    </w:p>
    <w:sectPr w:rsidR="00D10285" w:rsidRPr="00F01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05"/>
    <w:rsid w:val="00D10285"/>
    <w:rsid w:val="00F0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0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0110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0110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F011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F011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F01105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F01105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0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0110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0110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F011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F011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F01105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F01105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1128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2014-02-04T15:39:00Z</dcterms:created>
  <dcterms:modified xsi:type="dcterms:W3CDTF">2014-02-04T15:42:00Z</dcterms:modified>
</cp:coreProperties>
</file>