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-720"/>
        </w:tabs>
        <w:suppressAutoHyphens/>
        <w:jc w:val="both"/>
        <w:rPr>
          <w:spacing w:val="-1"/>
          <w:lang w:val="es-ES_tradnl"/>
        </w:rPr>
      </w:pPr>
      <w:r w:rsidRPr="004772FE">
        <w:rPr>
          <w:b/>
          <w:bCs/>
          <w:spacing w:val="-1"/>
          <w:lang w:val="es-ES_tradnl"/>
        </w:rPr>
        <w:t xml:space="preserve">SERIE FEBRE    </w:t>
      </w:r>
      <w:r w:rsidRPr="004772FE">
        <w:rPr>
          <w:spacing w:val="-1"/>
          <w:lang w:val="es-ES_tradnl"/>
        </w:rPr>
        <w:t xml:space="preserve">                                                                         </w:t>
      </w:r>
      <w:r w:rsidRPr="004772FE">
        <w:rPr>
          <w:spacing w:val="-1"/>
          <w:lang w:val="es-ES_tradnl"/>
        </w:rPr>
        <w:tab/>
      </w:r>
      <w:r w:rsidRPr="004772FE">
        <w:rPr>
          <w:spacing w:val="-1"/>
          <w:lang w:val="es-ES_tradnl"/>
        </w:rPr>
        <w:tab/>
      </w:r>
      <w:r>
        <w:rPr>
          <w:spacing w:val="-1"/>
          <w:lang w:val="es-ES_tradnl"/>
        </w:rPr>
        <w:t xml:space="preserve">       </w:t>
      </w:r>
      <w:r w:rsidRPr="004772FE">
        <w:rPr>
          <w:spacing w:val="-1"/>
          <w:lang w:val="es-ES_tradnl"/>
        </w:rPr>
        <w:t xml:space="preserve"> Símbolo: </w:t>
      </w:r>
      <w:r w:rsidRPr="004772FE">
        <w:rPr>
          <w:b/>
          <w:bCs/>
          <w:spacing w:val="-1"/>
          <w:lang w:val="es-ES_tradnl"/>
        </w:rPr>
        <w:t>Fe</w:t>
      </w:r>
    </w:p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6D3FC3">
      <w:pPr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 xml:space="preserve">Pertenece a la familia "muy fina, levemente alcalina, térmica" de los </w:t>
      </w:r>
      <w:proofErr w:type="spellStart"/>
      <w:r w:rsidRPr="006D3FC3">
        <w:rPr>
          <w:spacing w:val="-1"/>
          <w:sz w:val="22"/>
          <w:szCs w:val="22"/>
          <w:u w:val="single"/>
          <w:lang w:val="es-ES_tradnl"/>
        </w:rPr>
        <w:t>Cromudertes</w:t>
      </w:r>
      <w:proofErr w:type="spellEnd"/>
      <w:r w:rsidRPr="006D3FC3">
        <w:rPr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6D3FC3">
        <w:rPr>
          <w:spacing w:val="-1"/>
          <w:sz w:val="22"/>
          <w:szCs w:val="22"/>
          <w:u w:val="single"/>
          <w:lang w:val="es-ES_tradnl"/>
        </w:rPr>
        <w:t>árgicos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. Muestra raramente un </w:t>
      </w:r>
      <w:proofErr w:type="spellStart"/>
      <w:r w:rsidRPr="004772FE">
        <w:rPr>
          <w:spacing w:val="-1"/>
          <w:sz w:val="22"/>
          <w:szCs w:val="22"/>
          <w:lang w:val="es-ES_tradnl"/>
        </w:rPr>
        <w:t>microrrelieve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gilgai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linear no visible en el terreno, y muy tenuemente en la fotografía aérea. Está ligera a moderadamente erosionado, moderadamente bien drenado y ligeramente alcalino en el subsuelo.</w:t>
      </w:r>
      <w:r w:rsidR="006D3FC3">
        <w:rPr>
          <w:spacing w:val="-1"/>
          <w:sz w:val="22"/>
          <w:szCs w:val="22"/>
          <w:lang w:val="es-ES_tradnl"/>
        </w:rPr>
        <w:t xml:space="preserve"> </w:t>
      </w:r>
      <w:r w:rsidRPr="004772FE">
        <w:rPr>
          <w:spacing w:val="-1"/>
          <w:sz w:val="22"/>
          <w:szCs w:val="22"/>
          <w:lang w:val="es-ES_tradnl"/>
        </w:rPr>
        <w:t xml:space="preserve">Tiene un </w:t>
      </w:r>
      <w:proofErr w:type="spellStart"/>
      <w:r w:rsidRPr="004772FE">
        <w:rPr>
          <w:spacing w:val="-1"/>
          <w:sz w:val="22"/>
          <w:szCs w:val="22"/>
          <w:lang w:val="es-ES_tradnl"/>
        </w:rPr>
        <w:t>epipedón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arcillo-limoso, moderadamente bien estructurado por el "</w:t>
      </w:r>
      <w:proofErr w:type="spellStart"/>
      <w:r w:rsidRPr="004772FE">
        <w:rPr>
          <w:spacing w:val="-1"/>
          <w:sz w:val="22"/>
          <w:szCs w:val="22"/>
          <w:lang w:val="es-ES_tradnl"/>
        </w:rPr>
        <w:t>selfmulching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", y un horizonte B2 </w:t>
      </w:r>
      <w:proofErr w:type="spellStart"/>
      <w:r w:rsidRPr="004772FE">
        <w:rPr>
          <w:spacing w:val="-1"/>
          <w:sz w:val="22"/>
          <w:szCs w:val="22"/>
          <w:lang w:val="es-ES_tradnl"/>
        </w:rPr>
        <w:t>argílico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, arcilloso en la parte baja del </w:t>
      </w:r>
      <w:proofErr w:type="spellStart"/>
      <w:r w:rsidRPr="004772FE">
        <w:rPr>
          <w:spacing w:val="-1"/>
          <w:sz w:val="22"/>
          <w:szCs w:val="22"/>
          <w:lang w:val="es-ES_tradnl"/>
        </w:rPr>
        <w:t>gilgai</w:t>
      </w:r>
      <w:proofErr w:type="spellEnd"/>
      <w:r w:rsidRPr="004772FE">
        <w:rPr>
          <w:spacing w:val="-1"/>
          <w:sz w:val="22"/>
          <w:szCs w:val="22"/>
          <w:lang w:val="es-ES_tradnl"/>
        </w:rPr>
        <w:t>, con caras de fricción ("</w:t>
      </w:r>
      <w:proofErr w:type="spellStart"/>
      <w:r w:rsidRPr="004772FE">
        <w:rPr>
          <w:spacing w:val="-1"/>
          <w:sz w:val="22"/>
          <w:szCs w:val="22"/>
          <w:lang w:val="es-ES_tradnl"/>
        </w:rPr>
        <w:t>slickensides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") intersectadas. Cuando seco, el suelo se agrieta fuertemente en el B2 y, en parte, también en el </w:t>
      </w:r>
      <w:proofErr w:type="spellStart"/>
      <w:r w:rsidRPr="004772FE">
        <w:rPr>
          <w:spacing w:val="-1"/>
          <w:sz w:val="22"/>
          <w:szCs w:val="22"/>
          <w:lang w:val="es-ES_tradnl"/>
        </w:rPr>
        <w:t>epipedón</w:t>
      </w:r>
      <w:proofErr w:type="spellEnd"/>
      <w:r w:rsidRPr="004772FE">
        <w:rPr>
          <w:spacing w:val="-1"/>
          <w:sz w:val="22"/>
          <w:szCs w:val="22"/>
          <w:lang w:val="es-ES_tradnl"/>
        </w:rPr>
        <w:t>. Son suelos desarrollados en materiales limo-calcáreos, arcillo-limosos.</w:t>
      </w:r>
    </w:p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lang w:val="es-ES_tradnl"/>
        </w:rPr>
        <w:t>Perfil tipo:</w:t>
      </w:r>
      <w:r w:rsidRPr="004772FE">
        <w:rPr>
          <w:spacing w:val="-1"/>
          <w:sz w:val="22"/>
          <w:szCs w:val="22"/>
          <w:lang w:val="es-ES_tradnl"/>
        </w:rPr>
        <w:t xml:space="preserve"> ER3-</w:t>
      </w:r>
      <w:smartTag w:uri="urn:schemas-microsoft-com:office:smarttags" w:element="metricconverter">
        <w:smartTagPr>
          <w:attr w:name="ProductID" w:val="3C"/>
        </w:smartTagPr>
        <w:r w:rsidRPr="004772FE">
          <w:rPr>
            <w:spacing w:val="-1"/>
            <w:sz w:val="22"/>
            <w:szCs w:val="22"/>
            <w:lang w:val="es-ES_tradnl"/>
          </w:rPr>
          <w:t>3C</w:t>
        </w:r>
      </w:smartTag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lang w:val="es-ES_tradnl"/>
        </w:rPr>
        <w:t>Fecha:</w:t>
      </w:r>
      <w:r w:rsidRPr="004772FE">
        <w:rPr>
          <w:spacing w:val="-1"/>
          <w:sz w:val="22"/>
          <w:szCs w:val="22"/>
          <w:lang w:val="es-ES_tradnl"/>
        </w:rPr>
        <w:t xml:space="preserve"> 31-VII-1970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b/>
          <w:sz w:val="22"/>
          <w:szCs w:val="22"/>
          <w:lang w:val="es-ES_tradnl"/>
        </w:rPr>
        <w:t>Ubicación:</w:t>
      </w:r>
      <w:r w:rsidRPr="004772FE">
        <w:rPr>
          <w:sz w:val="22"/>
          <w:szCs w:val="22"/>
          <w:lang w:val="es-ES_tradnl"/>
        </w:rPr>
        <w:t xml:space="preserve"> </w:t>
      </w:r>
      <w:r w:rsidRPr="004772FE">
        <w:rPr>
          <w:spacing w:val="-1"/>
          <w:sz w:val="22"/>
          <w:szCs w:val="22"/>
          <w:lang w:val="es-ES_tradnl"/>
        </w:rPr>
        <w:t xml:space="preserve">Estación Experimental Agropecuaria del </w:t>
      </w:r>
      <w:smartTag w:uri="urn:schemas-microsoft-com:office:smarttags" w:element="PersonName">
        <w:smartTagPr>
          <w:attr w:name="ProductID" w:val="INTA Paran￡"/>
        </w:smartTagPr>
        <w:r w:rsidRPr="004772FE">
          <w:rPr>
            <w:spacing w:val="-1"/>
            <w:sz w:val="22"/>
            <w:szCs w:val="22"/>
            <w:lang w:val="es-ES_tradnl"/>
          </w:rPr>
          <w:t>INTA Paraná</w:t>
        </w:r>
      </w:smartTag>
      <w:r w:rsidRPr="004772FE">
        <w:rPr>
          <w:spacing w:val="-1"/>
          <w:sz w:val="22"/>
          <w:szCs w:val="22"/>
          <w:lang w:val="es-ES_tradnl"/>
        </w:rPr>
        <w:t xml:space="preserve"> (foto 448-36) - Dpto. Paraná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lang w:val="es-ES_tradnl"/>
        </w:rPr>
        <w:t>Reconocedores:</w:t>
      </w:r>
      <w:r w:rsidRPr="004772FE">
        <w:rPr>
          <w:spacing w:val="-1"/>
          <w:sz w:val="22"/>
          <w:szCs w:val="22"/>
          <w:lang w:val="es-ES_tradnl"/>
        </w:rPr>
        <w:t xml:space="preserve"> R.E. </w:t>
      </w:r>
      <w:proofErr w:type="spellStart"/>
      <w:r w:rsidRPr="004772FE">
        <w:rPr>
          <w:spacing w:val="-1"/>
          <w:sz w:val="22"/>
          <w:szCs w:val="22"/>
          <w:lang w:val="es-ES_tradnl"/>
        </w:rPr>
        <w:t>Kleinerman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; G.W. van </w:t>
      </w:r>
      <w:proofErr w:type="spellStart"/>
      <w:r w:rsidRPr="004772FE">
        <w:rPr>
          <w:spacing w:val="-1"/>
          <w:sz w:val="22"/>
          <w:szCs w:val="22"/>
          <w:lang w:val="es-ES_tradnl"/>
        </w:rPr>
        <w:t>Barneveld</w:t>
      </w:r>
      <w:proofErr w:type="spellEnd"/>
      <w:r w:rsidRPr="004772FE">
        <w:rPr>
          <w:spacing w:val="-1"/>
          <w:sz w:val="22"/>
          <w:szCs w:val="22"/>
          <w:lang w:val="es-ES_tradnl"/>
        </w:rPr>
        <w:t>.</w:t>
      </w:r>
    </w:p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  <w:proofErr w:type="spellStart"/>
      <w:r w:rsidRPr="004772FE">
        <w:rPr>
          <w:b/>
          <w:spacing w:val="-1"/>
          <w:sz w:val="22"/>
          <w:szCs w:val="22"/>
          <w:lang w:val="es-ES_tradnl"/>
        </w:rPr>
        <w:t>Ap</w:t>
      </w:r>
      <w:proofErr w:type="spellEnd"/>
      <w:r w:rsidRPr="004772FE">
        <w:rPr>
          <w:b/>
          <w:spacing w:val="-1"/>
          <w:sz w:val="22"/>
          <w:szCs w:val="22"/>
          <w:lang w:val="es-ES_tradnl"/>
        </w:rPr>
        <w:t>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4772FE">
        <w:rPr>
          <w:spacing w:val="-1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8 cm"/>
        </w:smartTagPr>
        <w:r w:rsidRPr="004772FE">
          <w:rPr>
            <w:spacing w:val="-1"/>
            <w:sz w:val="22"/>
            <w:szCs w:val="22"/>
            <w:lang w:val="es-ES_tradnl"/>
          </w:rPr>
          <w:t>18 cm</w:t>
        </w:r>
      </w:smartTag>
      <w:r w:rsidRPr="004772FE">
        <w:rPr>
          <w:spacing w:val="-1"/>
          <w:sz w:val="22"/>
          <w:szCs w:val="22"/>
          <w:lang w:val="es-ES_tradnl"/>
        </w:rPr>
        <w:t>; pardo muy oscuro (10YR 2/2) en húmedo; pardo grisáceo muy oscuro (10YR 3/2) en seco; arcillo</w:t>
      </w:r>
      <w:r>
        <w:rPr>
          <w:spacing w:val="-1"/>
          <w:sz w:val="22"/>
          <w:szCs w:val="22"/>
          <w:lang w:val="es-ES_tradnl"/>
        </w:rPr>
        <w:t>-</w:t>
      </w:r>
      <w:r w:rsidRPr="004772FE">
        <w:rPr>
          <w:spacing w:val="-1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4772FE">
        <w:rPr>
          <w:spacing w:val="-1"/>
          <w:sz w:val="22"/>
          <w:szCs w:val="22"/>
          <w:lang w:val="es-ES_tradnl"/>
        </w:rPr>
        <w:t>subangulares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, finos y medios, fuertes; muy duro en seco; friable en húmedo; concreciones calcáreas de hasta </w:t>
      </w:r>
      <w:smartTag w:uri="urn:schemas-microsoft-com:office:smarttags" w:element="metricconverter">
        <w:smartTagPr>
          <w:attr w:name="ProductID" w:val="1 cm"/>
        </w:smartTagPr>
        <w:r w:rsidRPr="004772FE">
          <w:rPr>
            <w:spacing w:val="-1"/>
            <w:sz w:val="22"/>
            <w:szCs w:val="22"/>
            <w:lang w:val="es-ES_tradnl"/>
          </w:rPr>
          <w:t>1 cm</w:t>
        </w:r>
      </w:smartTag>
      <w:r w:rsidRPr="004772FE">
        <w:rPr>
          <w:spacing w:val="-1"/>
          <w:sz w:val="22"/>
          <w:szCs w:val="22"/>
          <w:lang w:val="es-ES_tradnl"/>
        </w:rPr>
        <w:t>, comunes; límite abrupto, suave.</w:t>
      </w: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lang w:val="es-ES_tradnl"/>
        </w:rPr>
        <w:t>B21: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4772FE">
        <w:rPr>
          <w:spacing w:val="-1"/>
          <w:sz w:val="22"/>
          <w:szCs w:val="22"/>
          <w:lang w:val="es-ES_tradnl"/>
        </w:rPr>
        <w:t>18-</w:t>
      </w:r>
      <w:smartTag w:uri="urn:schemas-microsoft-com:office:smarttags" w:element="metricconverter">
        <w:smartTagPr>
          <w:attr w:name="ProductID" w:val="55 cm"/>
        </w:smartTagPr>
        <w:r w:rsidRPr="004772FE">
          <w:rPr>
            <w:spacing w:val="-1"/>
            <w:sz w:val="22"/>
            <w:szCs w:val="22"/>
            <w:lang w:val="es-ES_tradnl"/>
          </w:rPr>
          <w:t>55 cm</w:t>
        </w:r>
      </w:smartTag>
      <w:r w:rsidRPr="004772FE">
        <w:rPr>
          <w:spacing w:val="-1"/>
          <w:sz w:val="22"/>
          <w:szCs w:val="22"/>
          <w:lang w:val="es-ES_tradnl"/>
        </w:rPr>
        <w:t>; negro (10YR 2/1) en húmedo; gris muy oscuro (10YR 3/1) en seco; arcillo</w:t>
      </w:r>
      <w:r>
        <w:rPr>
          <w:spacing w:val="-1"/>
          <w:sz w:val="22"/>
          <w:szCs w:val="22"/>
          <w:lang w:val="es-ES_tradnl"/>
        </w:rPr>
        <w:t>-</w:t>
      </w:r>
      <w:r w:rsidRPr="004772FE">
        <w:rPr>
          <w:spacing w:val="-1"/>
          <w:sz w:val="22"/>
          <w:szCs w:val="22"/>
          <w:lang w:val="es-ES_tradnl"/>
        </w:rPr>
        <w:t>limoso; estructura en prismas compuestos irregulares, medios, moderados, que rompen en bloques angulares irregulares con tendencia cuneiforme y bloques cuneiformes, medios, moderados; extremadamente duro en seco; muy firme en húmedo; barnices "</w:t>
      </w:r>
      <w:proofErr w:type="spellStart"/>
      <w:r w:rsidRPr="004772FE">
        <w:rPr>
          <w:spacing w:val="-1"/>
          <w:sz w:val="22"/>
          <w:szCs w:val="22"/>
          <w:lang w:val="es-ES_tradnl"/>
        </w:rPr>
        <w:t>clay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humic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skins</w:t>
      </w:r>
      <w:proofErr w:type="spellEnd"/>
      <w:r w:rsidRPr="004772FE">
        <w:rPr>
          <w:spacing w:val="-1"/>
          <w:sz w:val="22"/>
          <w:szCs w:val="22"/>
          <w:lang w:val="es-ES_tradnl"/>
        </w:rPr>
        <w:t>" escasos y finos; caras de fricción ("</w:t>
      </w:r>
      <w:proofErr w:type="spellStart"/>
      <w:r w:rsidRPr="004772FE">
        <w:rPr>
          <w:spacing w:val="-1"/>
          <w:sz w:val="22"/>
          <w:szCs w:val="22"/>
          <w:lang w:val="es-ES_tradnl"/>
        </w:rPr>
        <w:t>slickensides</w:t>
      </w:r>
      <w:proofErr w:type="spellEnd"/>
      <w:r w:rsidRPr="004772FE">
        <w:rPr>
          <w:spacing w:val="-1"/>
          <w:sz w:val="22"/>
          <w:szCs w:val="22"/>
          <w:lang w:val="es-ES_tradnl"/>
        </w:rPr>
        <w:t>") comunes, intersectadas; concreciones calcáreas comunes; límite claro, suave.</w:t>
      </w: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lang w:val="es-ES_tradnl"/>
        </w:rPr>
        <w:t>B22ca: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4772FE">
        <w:rPr>
          <w:spacing w:val="-1"/>
          <w:sz w:val="22"/>
          <w:szCs w:val="22"/>
          <w:lang w:val="es-ES_tradnl"/>
        </w:rPr>
        <w:t>55-</w:t>
      </w:r>
      <w:smartTag w:uri="urn:schemas-microsoft-com:office:smarttags" w:element="metricconverter">
        <w:smartTagPr>
          <w:attr w:name="ProductID" w:val="84 cm"/>
        </w:smartTagPr>
        <w:r w:rsidRPr="004772FE">
          <w:rPr>
            <w:spacing w:val="-1"/>
            <w:sz w:val="22"/>
            <w:szCs w:val="22"/>
            <w:lang w:val="es-ES_tradnl"/>
          </w:rPr>
          <w:t>84 cm</w:t>
        </w:r>
      </w:smartTag>
      <w:r w:rsidRPr="004772FE">
        <w:rPr>
          <w:spacing w:val="-1"/>
          <w:sz w:val="22"/>
          <w:szCs w:val="22"/>
          <w:lang w:val="es-ES_tradnl"/>
        </w:rPr>
        <w:t>; gris oscuro (10YR 4/1) en húmedo; arcilloso; estructura en prismas compuestos irregulares, medios, moderados, que rompen en bloques angulares irregulares con tendencia cuneiforme, medios, fuertes; extremadamente duro en seco; muy firme en húmedo; barnices "</w:t>
      </w:r>
      <w:proofErr w:type="spellStart"/>
      <w:r w:rsidRPr="004772FE">
        <w:rPr>
          <w:spacing w:val="-1"/>
          <w:sz w:val="22"/>
          <w:szCs w:val="22"/>
          <w:lang w:val="es-ES_tradnl"/>
        </w:rPr>
        <w:t>clay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humic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skins</w:t>
      </w:r>
      <w:proofErr w:type="spellEnd"/>
      <w:r w:rsidRPr="004772FE">
        <w:rPr>
          <w:spacing w:val="-1"/>
          <w:sz w:val="22"/>
          <w:szCs w:val="22"/>
          <w:lang w:val="es-ES_tradnl"/>
        </w:rPr>
        <w:t>" escasos y finos; caras de fricción ("</w:t>
      </w:r>
      <w:proofErr w:type="spellStart"/>
      <w:r w:rsidRPr="004772FE">
        <w:rPr>
          <w:spacing w:val="-1"/>
          <w:sz w:val="22"/>
          <w:szCs w:val="22"/>
          <w:lang w:val="es-ES_tradnl"/>
        </w:rPr>
        <w:t>slickensides</w:t>
      </w:r>
      <w:proofErr w:type="spellEnd"/>
      <w:r w:rsidRPr="004772FE">
        <w:rPr>
          <w:spacing w:val="-1"/>
          <w:sz w:val="22"/>
          <w:szCs w:val="22"/>
          <w:lang w:val="es-ES_tradnl"/>
        </w:rPr>
        <w:t>") abundantes, intersectadas; concreciones calcáreas abundantes; límite gradual, ondulado.</w:t>
      </w: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lang w:val="es-ES_tradnl"/>
        </w:rPr>
        <w:t>B3ca: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4772FE">
        <w:rPr>
          <w:spacing w:val="-1"/>
          <w:sz w:val="22"/>
          <w:szCs w:val="22"/>
          <w:lang w:val="es-ES_tradnl"/>
        </w:rPr>
        <w:t>84-</w:t>
      </w:r>
      <w:smartTag w:uri="urn:schemas-microsoft-com:office:smarttags" w:element="metricconverter">
        <w:smartTagPr>
          <w:attr w:name="ProductID" w:val="115 cm"/>
        </w:smartTagPr>
        <w:r w:rsidRPr="004772FE">
          <w:rPr>
            <w:spacing w:val="-1"/>
            <w:sz w:val="22"/>
            <w:szCs w:val="22"/>
            <w:lang w:val="es-ES_tradnl"/>
          </w:rPr>
          <w:t>115 cm</w:t>
        </w:r>
      </w:smartTag>
      <w:r w:rsidRPr="004772FE">
        <w:rPr>
          <w:spacing w:val="-1"/>
          <w:sz w:val="22"/>
          <w:szCs w:val="22"/>
          <w:lang w:val="es-ES_tradnl"/>
        </w:rPr>
        <w:t>; pardo grisáceo (10YR 5/2) en húmedo; arcillo</w:t>
      </w:r>
      <w:r>
        <w:rPr>
          <w:spacing w:val="-1"/>
          <w:sz w:val="22"/>
          <w:szCs w:val="22"/>
          <w:lang w:val="es-ES_tradnl"/>
        </w:rPr>
        <w:t>-</w:t>
      </w:r>
      <w:r w:rsidRPr="004772FE">
        <w:rPr>
          <w:spacing w:val="-1"/>
          <w:sz w:val="22"/>
          <w:szCs w:val="22"/>
          <w:lang w:val="es-ES_tradnl"/>
        </w:rPr>
        <w:t>limoso; estructura en prismas compuestos irregulares, medios, moderados, que rompen en bloques angulares irregulares con tendencia cuneiforme, medios, fuertes; muy duro en seco; firme en húmedo; barnices "</w:t>
      </w:r>
      <w:proofErr w:type="spellStart"/>
      <w:r w:rsidRPr="004772FE">
        <w:rPr>
          <w:spacing w:val="-1"/>
          <w:sz w:val="22"/>
          <w:szCs w:val="22"/>
          <w:lang w:val="es-ES_tradnl"/>
        </w:rPr>
        <w:t>clay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humic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skins</w:t>
      </w:r>
      <w:proofErr w:type="spellEnd"/>
      <w:r w:rsidRPr="004772FE">
        <w:rPr>
          <w:spacing w:val="-1"/>
          <w:sz w:val="22"/>
          <w:szCs w:val="22"/>
          <w:lang w:val="es-ES_tradnl"/>
        </w:rPr>
        <w:t>" escasos y finos; caras de fricción ("</w:t>
      </w:r>
      <w:proofErr w:type="spellStart"/>
      <w:r w:rsidRPr="004772FE">
        <w:rPr>
          <w:spacing w:val="-1"/>
          <w:sz w:val="22"/>
          <w:szCs w:val="22"/>
          <w:lang w:val="es-ES_tradnl"/>
        </w:rPr>
        <w:t>slickensides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") comunes, intersectadas; moteados de hierro y manganeso comunes, finos y precisos; concreciones calcáreas de hasta </w:t>
      </w:r>
      <w:smartTag w:uri="urn:schemas-microsoft-com:office:smarttags" w:element="metricconverter">
        <w:smartTagPr>
          <w:attr w:name="ProductID" w:val="1 cm"/>
        </w:smartTagPr>
        <w:r w:rsidRPr="004772FE">
          <w:rPr>
            <w:spacing w:val="-1"/>
            <w:sz w:val="22"/>
            <w:szCs w:val="22"/>
            <w:lang w:val="es-ES_tradnl"/>
          </w:rPr>
          <w:t>1 cm</w:t>
        </w:r>
      </w:smartTag>
      <w:r w:rsidRPr="004772FE">
        <w:rPr>
          <w:spacing w:val="-1"/>
          <w:sz w:val="22"/>
          <w:szCs w:val="22"/>
          <w:lang w:val="es-ES_tradnl"/>
        </w:rPr>
        <w:t>, abundantes; límite gradual, ondulado.</w:t>
      </w: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suppressAutoHyphens/>
        <w:jc w:val="both"/>
        <w:rPr>
          <w:spacing w:val="-1"/>
          <w:sz w:val="22"/>
          <w:szCs w:val="22"/>
          <w:lang w:val="es-ES_tradnl"/>
        </w:rPr>
      </w:pPr>
      <w:proofErr w:type="spellStart"/>
      <w:r w:rsidRPr="004772FE">
        <w:rPr>
          <w:b/>
          <w:spacing w:val="-1"/>
          <w:sz w:val="22"/>
          <w:szCs w:val="22"/>
          <w:lang w:val="es-ES_tradnl"/>
        </w:rPr>
        <w:t>Cca</w:t>
      </w:r>
      <w:proofErr w:type="spellEnd"/>
      <w:r w:rsidRPr="004772FE">
        <w:rPr>
          <w:b/>
          <w:spacing w:val="-1"/>
          <w:sz w:val="22"/>
          <w:szCs w:val="22"/>
          <w:lang w:val="es-ES_tradnl"/>
        </w:rPr>
        <w:t>:</w:t>
      </w:r>
      <w:r>
        <w:rPr>
          <w:b/>
          <w:spacing w:val="-1"/>
          <w:sz w:val="22"/>
          <w:szCs w:val="22"/>
          <w:lang w:val="es-ES_tradnl"/>
        </w:rPr>
        <w:t xml:space="preserve"> </w:t>
      </w:r>
      <w:r w:rsidRPr="004772FE">
        <w:rPr>
          <w:spacing w:val="-1"/>
          <w:sz w:val="22"/>
          <w:szCs w:val="22"/>
          <w:lang w:val="es-ES_tradnl"/>
        </w:rPr>
        <w:t>115 + cm (132); pardo amarillento claro (10YR 6/4) en húmedo; arcillo</w:t>
      </w:r>
      <w:r>
        <w:rPr>
          <w:spacing w:val="-1"/>
          <w:sz w:val="22"/>
          <w:szCs w:val="22"/>
          <w:lang w:val="es-ES_tradnl"/>
        </w:rPr>
        <w:t>-</w:t>
      </w:r>
      <w:r w:rsidRPr="004772FE">
        <w:rPr>
          <w:spacing w:val="-1"/>
          <w:sz w:val="22"/>
          <w:szCs w:val="22"/>
          <w:lang w:val="es-ES_tradnl"/>
        </w:rPr>
        <w:t>limoso; estructura masiva; muy duro en seco; firme en húmedo; moteados de hierro y manganeso comunes, finos y precisos; concreciones calcáreas abundantes.</w:t>
      </w:r>
    </w:p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6D3FC3" w:rsidRDefault="006D3FC3" w:rsidP="004772F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6D3FC3" w:rsidRDefault="006D3FC3" w:rsidP="004772F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 xml:space="preserve">La variabilidad de rasgos está determinada principalmente por dos procesos: uno es el movimiento en masa y el otro es </w:t>
      </w:r>
      <w:smartTag w:uri="urn:schemas-microsoft-com:office:smarttags" w:element="PersonName">
        <w:smartTagPr>
          <w:attr w:name="ProductID" w:val="la erosi￳n. Probablemente"/>
        </w:smartTagPr>
        <w:r w:rsidRPr="004772FE">
          <w:rPr>
            <w:spacing w:val="-1"/>
            <w:sz w:val="22"/>
            <w:szCs w:val="22"/>
            <w:lang w:val="es-ES_tradnl"/>
          </w:rPr>
          <w:t>la erosión. Probablemente</w:t>
        </w:r>
      </w:smartTag>
      <w:r w:rsidRPr="004772FE">
        <w:rPr>
          <w:spacing w:val="-1"/>
          <w:sz w:val="22"/>
          <w:szCs w:val="22"/>
          <w:lang w:val="es-ES_tradnl"/>
        </w:rPr>
        <w:t xml:space="preserve"> por la erosión natural, el </w:t>
      </w:r>
      <w:proofErr w:type="spellStart"/>
      <w:r w:rsidRPr="004772FE">
        <w:rPr>
          <w:spacing w:val="-1"/>
          <w:sz w:val="22"/>
          <w:szCs w:val="22"/>
          <w:lang w:val="es-ES_tradnl"/>
        </w:rPr>
        <w:t>microrrelieve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gilgai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ha sido borrado. El perfil tipo correspondería a la concavidad del supuesto </w:t>
      </w:r>
      <w:proofErr w:type="spellStart"/>
      <w:r w:rsidRPr="004772FE">
        <w:rPr>
          <w:spacing w:val="-1"/>
          <w:sz w:val="22"/>
          <w:szCs w:val="22"/>
          <w:lang w:val="es-ES_tradnl"/>
        </w:rPr>
        <w:t>gilgai</w:t>
      </w:r>
      <w:proofErr w:type="spellEnd"/>
      <w:r w:rsidRPr="004772FE">
        <w:rPr>
          <w:spacing w:val="-1"/>
          <w:sz w:val="22"/>
          <w:szCs w:val="22"/>
          <w:lang w:val="es-ES_tradnl"/>
        </w:rPr>
        <w:t>.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 xml:space="preserve">El </w:t>
      </w:r>
      <w:proofErr w:type="spellStart"/>
      <w:r w:rsidRPr="004772FE">
        <w:rPr>
          <w:spacing w:val="-1"/>
          <w:sz w:val="22"/>
          <w:szCs w:val="22"/>
          <w:lang w:val="es-ES_tradnl"/>
        </w:rPr>
        <w:t>solum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varía de 50-</w:t>
      </w:r>
      <w:smartTag w:uri="urn:schemas-microsoft-com:office:smarttags" w:element="metricconverter">
        <w:smartTagPr>
          <w:attr w:name="ProductID" w:val="120 cm"/>
        </w:smartTagPr>
        <w:r w:rsidRPr="004772FE">
          <w:rPr>
            <w:spacing w:val="-1"/>
            <w:sz w:val="22"/>
            <w:szCs w:val="22"/>
            <w:lang w:val="es-ES_tradnl"/>
          </w:rPr>
          <w:t>120 cm</w:t>
        </w:r>
      </w:smartTag>
      <w:r w:rsidRPr="004772FE">
        <w:rPr>
          <w:spacing w:val="-1"/>
          <w:sz w:val="22"/>
          <w:szCs w:val="22"/>
          <w:lang w:val="es-ES_tradnl"/>
        </w:rPr>
        <w:t xml:space="preserve">. El </w:t>
      </w:r>
      <w:proofErr w:type="spellStart"/>
      <w:r w:rsidRPr="004772FE">
        <w:rPr>
          <w:spacing w:val="-1"/>
          <w:sz w:val="22"/>
          <w:szCs w:val="22"/>
          <w:lang w:val="es-ES_tradnl"/>
        </w:rPr>
        <w:t>epipedón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varía de 15-</w:t>
      </w:r>
      <w:smartTag w:uri="urn:schemas-microsoft-com:office:smarttags" w:element="metricconverter">
        <w:smartTagPr>
          <w:attr w:name="ProductID" w:val="20 cm"/>
        </w:smartTagPr>
        <w:r w:rsidRPr="004772FE">
          <w:rPr>
            <w:spacing w:val="-1"/>
            <w:sz w:val="22"/>
            <w:szCs w:val="22"/>
            <w:lang w:val="es-ES_tradnl"/>
          </w:rPr>
          <w:t>20 cm</w:t>
        </w:r>
      </w:smartTag>
      <w:r w:rsidRPr="004772FE">
        <w:rPr>
          <w:spacing w:val="-1"/>
          <w:sz w:val="22"/>
          <w:szCs w:val="22"/>
          <w:lang w:val="es-ES_tradnl"/>
        </w:rPr>
        <w:t>, y generalmente está moderadamente bien estructurado por el "</w:t>
      </w:r>
      <w:proofErr w:type="spellStart"/>
      <w:r w:rsidRPr="004772FE">
        <w:rPr>
          <w:spacing w:val="-1"/>
          <w:sz w:val="22"/>
          <w:szCs w:val="22"/>
          <w:lang w:val="es-ES_tradnl"/>
        </w:rPr>
        <w:t>selfmulching</w:t>
      </w:r>
      <w:proofErr w:type="spellEnd"/>
      <w:r w:rsidRPr="004772FE">
        <w:rPr>
          <w:spacing w:val="-1"/>
          <w:sz w:val="22"/>
          <w:szCs w:val="22"/>
          <w:lang w:val="es-ES_tradnl"/>
        </w:rPr>
        <w:t>"; raramente se puede diferenciar un A1 y un B1. Tienen 40-45 % de arcilla, pero en algunos lugares con más erosión puede llegar a 48-50 % y en áreas con algo de acumulación (fase engrosada) varía de 27-40 %.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 xml:space="preserve">El horizonte B2, </w:t>
      </w:r>
      <w:proofErr w:type="spellStart"/>
      <w:r w:rsidRPr="004772FE">
        <w:rPr>
          <w:spacing w:val="-1"/>
          <w:sz w:val="22"/>
          <w:szCs w:val="22"/>
          <w:lang w:val="es-ES_tradnl"/>
        </w:rPr>
        <w:t>argílico</w:t>
      </w:r>
      <w:proofErr w:type="spellEnd"/>
      <w:r w:rsidRPr="004772FE">
        <w:rPr>
          <w:spacing w:val="-1"/>
          <w:sz w:val="22"/>
          <w:szCs w:val="22"/>
          <w:lang w:val="es-ES_tradnl"/>
        </w:rPr>
        <w:t>, varía de 30-</w:t>
      </w:r>
      <w:smartTag w:uri="urn:schemas-microsoft-com:office:smarttags" w:element="metricconverter">
        <w:smartTagPr>
          <w:attr w:name="ProductID" w:val="60 cm"/>
        </w:smartTagPr>
        <w:r w:rsidRPr="004772FE">
          <w:rPr>
            <w:spacing w:val="-1"/>
            <w:sz w:val="22"/>
            <w:szCs w:val="22"/>
            <w:lang w:val="es-ES_tradnl"/>
          </w:rPr>
          <w:t>60 cm</w:t>
        </w:r>
      </w:smartTag>
      <w:r w:rsidRPr="004772FE">
        <w:rPr>
          <w:spacing w:val="-1"/>
          <w:sz w:val="22"/>
          <w:szCs w:val="22"/>
          <w:lang w:val="es-ES_tradnl"/>
        </w:rPr>
        <w:t xml:space="preserve"> y su porcentaje de arcilla se incrementa con la profundidad del mismo (50-55 % en la parte superior, sobrepasando el 60 % en la parte inferior). Su estructura generalmente es prismática compuesta, que rompe en bloques cuneiformes y localmente también en bloques angulares. Los prismas pueden ser muy débiles. Los barnices, descriptos como "</w:t>
      </w:r>
      <w:proofErr w:type="spellStart"/>
      <w:r w:rsidRPr="004772FE">
        <w:rPr>
          <w:spacing w:val="-1"/>
          <w:sz w:val="22"/>
          <w:szCs w:val="22"/>
          <w:lang w:val="es-ES_tradnl"/>
        </w:rPr>
        <w:t>clay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humic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4772FE">
        <w:rPr>
          <w:spacing w:val="-1"/>
          <w:sz w:val="22"/>
          <w:szCs w:val="22"/>
          <w:lang w:val="es-ES_tradnl"/>
        </w:rPr>
        <w:t>skins</w:t>
      </w:r>
      <w:proofErr w:type="spellEnd"/>
      <w:r w:rsidRPr="004772FE">
        <w:rPr>
          <w:spacing w:val="-1"/>
          <w:sz w:val="22"/>
          <w:szCs w:val="22"/>
          <w:lang w:val="es-ES_tradnl"/>
        </w:rPr>
        <w:t>" muy probablemente son espejos de fricción o "</w:t>
      </w:r>
      <w:proofErr w:type="spellStart"/>
      <w:r w:rsidRPr="004772FE">
        <w:rPr>
          <w:spacing w:val="-1"/>
          <w:sz w:val="22"/>
          <w:szCs w:val="22"/>
          <w:lang w:val="es-ES_tradnl"/>
        </w:rPr>
        <w:t>slickensides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". Cuando está seco, el B2 presenta grietas que se extienden hasta la base del </w:t>
      </w:r>
      <w:proofErr w:type="spellStart"/>
      <w:r w:rsidRPr="004772FE">
        <w:rPr>
          <w:spacing w:val="-1"/>
          <w:sz w:val="22"/>
          <w:szCs w:val="22"/>
          <w:lang w:val="es-ES_tradnl"/>
        </w:rPr>
        <w:t>epipedón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, y localmente, hasta </w:t>
      </w:r>
      <w:smartTag w:uri="urn:schemas-microsoft-com:office:smarttags" w:element="PersonName">
        <w:smartTagPr>
          <w:attr w:name="ProductID" w:val="la superficie. Los"/>
        </w:smartTagPr>
        <w:r w:rsidRPr="004772FE">
          <w:rPr>
            <w:spacing w:val="-1"/>
            <w:sz w:val="22"/>
            <w:szCs w:val="22"/>
            <w:lang w:val="es-ES_tradnl"/>
          </w:rPr>
          <w:t>la superficie. Los</w:t>
        </w:r>
      </w:smartTag>
      <w:r w:rsidRPr="004772FE">
        <w:rPr>
          <w:spacing w:val="-1"/>
          <w:sz w:val="22"/>
          <w:szCs w:val="22"/>
          <w:lang w:val="es-ES_tradnl"/>
        </w:rPr>
        <w:t xml:space="preserve"> moteados, a veces, aparecen ya en el B2 y otros recién en el B3, variando de comunes a abundantes.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>El calcáreo, en concreciones duras aparece entre 00-</w:t>
      </w:r>
      <w:smartTag w:uri="urn:schemas-microsoft-com:office:smarttags" w:element="metricconverter">
        <w:smartTagPr>
          <w:attr w:name="ProductID" w:val="60 cm"/>
        </w:smartTagPr>
        <w:r w:rsidRPr="004772FE">
          <w:rPr>
            <w:spacing w:val="-1"/>
            <w:sz w:val="22"/>
            <w:szCs w:val="22"/>
            <w:lang w:val="es-ES_tradnl"/>
          </w:rPr>
          <w:t>60 cm</w:t>
        </w:r>
      </w:smartTag>
      <w:r w:rsidRPr="004772FE">
        <w:rPr>
          <w:spacing w:val="-1"/>
          <w:sz w:val="22"/>
          <w:szCs w:val="22"/>
          <w:lang w:val="es-ES_tradnl"/>
        </w:rPr>
        <w:t xml:space="preserve"> de acuerdo al movimiento en masa. El calcáreo libre recién se encuentra en el C, en la parte baja del </w:t>
      </w:r>
      <w:proofErr w:type="spellStart"/>
      <w:r w:rsidRPr="004772FE">
        <w:rPr>
          <w:spacing w:val="-1"/>
          <w:sz w:val="22"/>
          <w:szCs w:val="22"/>
          <w:lang w:val="es-ES_tradnl"/>
        </w:rPr>
        <w:t>gilgai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 y en el B21 en la cresta del </w:t>
      </w:r>
      <w:proofErr w:type="spellStart"/>
      <w:r w:rsidRPr="004772FE">
        <w:rPr>
          <w:spacing w:val="-1"/>
          <w:sz w:val="22"/>
          <w:szCs w:val="22"/>
          <w:lang w:val="es-ES_tradnl"/>
        </w:rPr>
        <w:t>gilgai</w:t>
      </w:r>
      <w:proofErr w:type="spellEnd"/>
      <w:r w:rsidRPr="004772FE">
        <w:rPr>
          <w:spacing w:val="-1"/>
          <w:sz w:val="22"/>
          <w:szCs w:val="22"/>
          <w:lang w:val="es-ES_tradnl"/>
        </w:rPr>
        <w:t xml:space="preserve">.  El porcentaje de calcáreo varía de 10-18 % en el B2 y de 3-5 % en el C del material &lt; </w:t>
      </w:r>
      <w:smartTag w:uri="urn:schemas-microsoft-com:office:smarttags" w:element="metricconverter">
        <w:smartTagPr>
          <w:attr w:name="ProductID" w:val="2 mm"/>
        </w:smartTagPr>
        <w:r w:rsidRPr="004772FE">
          <w:rPr>
            <w:spacing w:val="-1"/>
            <w:sz w:val="22"/>
            <w:szCs w:val="22"/>
            <w:lang w:val="es-ES_tradnl"/>
          </w:rPr>
          <w:t xml:space="preserve">2 </w:t>
        </w:r>
        <w:proofErr w:type="spellStart"/>
        <w:r w:rsidRPr="004772FE">
          <w:rPr>
            <w:spacing w:val="-1"/>
            <w:sz w:val="22"/>
            <w:szCs w:val="22"/>
            <w:lang w:val="es-ES_tradnl"/>
          </w:rPr>
          <w:t>mm</w:t>
        </w:r>
      </w:smartTag>
      <w:r w:rsidRPr="004772FE">
        <w:rPr>
          <w:spacing w:val="-1"/>
          <w:sz w:val="22"/>
          <w:szCs w:val="22"/>
          <w:lang w:val="es-ES_tradnl"/>
        </w:rPr>
        <w:t>.</w:t>
      </w:r>
      <w:proofErr w:type="spellEnd"/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 xml:space="preserve">Suelo ligeramente alcalino con 6-12 % de </w:t>
      </w:r>
      <w:proofErr w:type="spellStart"/>
      <w:r w:rsidRPr="004772FE">
        <w:rPr>
          <w:spacing w:val="-1"/>
          <w:sz w:val="22"/>
          <w:szCs w:val="22"/>
          <w:lang w:val="es-ES_tradnl"/>
        </w:rPr>
        <w:t>Na</w:t>
      </w:r>
      <w:proofErr w:type="spellEnd"/>
      <w:r w:rsidRPr="004772FE">
        <w:rPr>
          <w:spacing w:val="-1"/>
          <w:sz w:val="22"/>
          <w:szCs w:val="22"/>
          <w:vertAlign w:val="superscript"/>
          <w:lang w:val="es-ES_tradnl"/>
        </w:rPr>
        <w:t>+</w:t>
      </w:r>
      <w:r w:rsidRPr="004772FE">
        <w:rPr>
          <w:spacing w:val="-1"/>
          <w:sz w:val="22"/>
          <w:szCs w:val="22"/>
          <w:lang w:val="es-ES_tradnl"/>
        </w:rPr>
        <w:t xml:space="preserve"> a partir de la parte inferior del horizonte B2t. El color del C varía de 10YR 6/4 a 7.5YR 5/6 y, en algunos lugares, muestra gley fósil. Tiene alrededor de 45-55 % de arcilla y 2-3 % de arena.</w:t>
      </w:r>
    </w:p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6D3FC3" w:rsidRPr="004772FE" w:rsidRDefault="006D3FC3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6D3FC3" w:rsidP="004772FE">
      <w:pPr>
        <w:tabs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>
        <w:rPr>
          <w:spacing w:val="-1"/>
          <w:sz w:val="22"/>
          <w:szCs w:val="22"/>
          <w:lang w:val="es-ES_tradnl"/>
        </w:rPr>
        <w:t>Por pendiente (símbolo Fe.p3)</w:t>
      </w:r>
    </w:p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D808D5" w:rsidRPr="007B72E7" w:rsidRDefault="00D808D5" w:rsidP="00D808D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7B72E7">
        <w:rPr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D808D5" w:rsidRPr="007B72E7" w:rsidRDefault="00D808D5" w:rsidP="00D808D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D808D5" w:rsidRPr="007B72E7" w:rsidRDefault="00D808D5" w:rsidP="00D808D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7B72E7">
        <w:rPr>
          <w:spacing w:val="-1"/>
          <w:sz w:val="22"/>
          <w:szCs w:val="22"/>
          <w:lang w:val="es-ES_tradnl"/>
        </w:rPr>
        <w:t xml:space="preserve">Se parece a </w:t>
      </w:r>
      <w:smartTag w:uri="urn:schemas-microsoft-com:office:smarttags" w:element="PersonName">
        <w:smartTagPr>
          <w:attr w:name="ProductID" w:val="la Serie Brasilera"/>
        </w:smartTagPr>
        <w:r w:rsidRPr="007B72E7">
          <w:rPr>
            <w:spacing w:val="-1"/>
            <w:sz w:val="22"/>
            <w:szCs w:val="22"/>
            <w:lang w:val="es-ES_tradnl"/>
          </w:rPr>
          <w:t>la Serie Brasilera</w:t>
        </w:r>
      </w:smartTag>
      <w:r w:rsidRPr="007B72E7">
        <w:rPr>
          <w:spacing w:val="-1"/>
          <w:sz w:val="22"/>
          <w:szCs w:val="22"/>
          <w:lang w:val="es-ES_tradnl"/>
        </w:rPr>
        <w:t xml:space="preserve"> (con un </w:t>
      </w:r>
      <w:proofErr w:type="spellStart"/>
      <w:r w:rsidRPr="007B72E7">
        <w:rPr>
          <w:spacing w:val="-1"/>
          <w:sz w:val="22"/>
          <w:szCs w:val="22"/>
          <w:lang w:val="es-ES_tradnl"/>
        </w:rPr>
        <w:t>solum</w:t>
      </w:r>
      <w:proofErr w:type="spellEnd"/>
      <w:r w:rsidRPr="007B72E7">
        <w:rPr>
          <w:spacing w:val="-1"/>
          <w:sz w:val="22"/>
          <w:szCs w:val="22"/>
          <w:lang w:val="es-ES_tradnl"/>
        </w:rPr>
        <w:t xml:space="preserve"> mucho más somero, de 60-</w:t>
      </w:r>
      <w:smartTag w:uri="urn:schemas-microsoft-com:office:smarttags" w:element="metricconverter">
        <w:smartTagPr>
          <w:attr w:name="ProductID" w:val="70 cm"/>
        </w:smartTagPr>
        <w:r w:rsidRPr="007B72E7">
          <w:rPr>
            <w:spacing w:val="-1"/>
            <w:sz w:val="22"/>
            <w:szCs w:val="22"/>
            <w:lang w:val="es-ES_tradnl"/>
          </w:rPr>
          <w:t>70 cm</w:t>
        </w:r>
      </w:smartTag>
      <w:r w:rsidRPr="007B72E7">
        <w:rPr>
          <w:spacing w:val="-1"/>
          <w:sz w:val="22"/>
          <w:szCs w:val="22"/>
          <w:lang w:val="es-ES_tradnl"/>
        </w:rPr>
        <w:t xml:space="preserve">) y a </w:t>
      </w:r>
      <w:smartTag w:uri="urn:schemas-microsoft-com:office:smarttags" w:element="PersonName">
        <w:smartTagPr>
          <w:attr w:name="ProductID" w:val="la Serie Las Mercedes"/>
        </w:smartTagPr>
        <w:r w:rsidRPr="007B72E7">
          <w:rPr>
            <w:spacing w:val="-1"/>
            <w:sz w:val="22"/>
            <w:szCs w:val="22"/>
            <w:lang w:val="es-ES_tradnl"/>
          </w:rPr>
          <w:t>la Serie Las Mercedes</w:t>
        </w:r>
      </w:smartTag>
      <w:r w:rsidRPr="007B72E7">
        <w:rPr>
          <w:spacing w:val="-1"/>
          <w:sz w:val="22"/>
          <w:szCs w:val="22"/>
          <w:lang w:val="es-ES_tradnl"/>
        </w:rPr>
        <w:t xml:space="preserve"> (con un B2t de colores más oscuros). Además, ambas series están desarrolladas en paisajes distintos.</w:t>
      </w:r>
    </w:p>
    <w:p w:rsidR="00D808D5" w:rsidRDefault="00D808D5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D808D5" w:rsidRPr="004772FE" w:rsidRDefault="00D808D5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>Moderadamente bien drenado; escurrimiento superficial algo rápido. Permeabilidad muy lenta. Napa freática profunda. Grupo hidrológico D.</w:t>
      </w:r>
    </w:p>
    <w:p w:rsid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772FE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D2CE8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 xml:space="preserve">La mayoría de los suelos de </w:t>
      </w:r>
      <w:smartTag w:uri="urn:schemas-microsoft-com:office:smarttags" w:element="PersonName">
        <w:smartTagPr>
          <w:attr w:name="ProductID" w:val="La Serie Febr￩"/>
        </w:smartTagPr>
        <w:r w:rsidRPr="004772FE">
          <w:rPr>
            <w:spacing w:val="-1"/>
            <w:sz w:val="22"/>
            <w:szCs w:val="22"/>
            <w:lang w:val="es-ES_tradnl"/>
          </w:rPr>
          <w:t xml:space="preserve">la Serie </w:t>
        </w:r>
        <w:proofErr w:type="spellStart"/>
        <w:r w:rsidRPr="004772FE">
          <w:rPr>
            <w:spacing w:val="-1"/>
            <w:sz w:val="22"/>
            <w:szCs w:val="22"/>
            <w:lang w:val="es-ES_tradnl"/>
          </w:rPr>
          <w:t>Febré</w:t>
        </w:r>
      </w:smartTag>
      <w:proofErr w:type="spellEnd"/>
      <w:r w:rsidRPr="004772FE">
        <w:rPr>
          <w:spacing w:val="-1"/>
          <w:sz w:val="22"/>
          <w:szCs w:val="22"/>
          <w:lang w:val="es-ES_tradnl"/>
        </w:rPr>
        <w:t xml:space="preserve"> están leve a moderadamente erosionados, con erosión laminar y en surcos que</w:t>
      </w:r>
      <w:r w:rsidR="004D2CE8">
        <w:rPr>
          <w:spacing w:val="-1"/>
          <w:sz w:val="22"/>
          <w:szCs w:val="22"/>
          <w:lang w:val="es-ES_tradnl"/>
        </w:rPr>
        <w:t xml:space="preserve"> normalmente queda disimulada por </w:t>
      </w:r>
      <w:r w:rsidRPr="004772FE">
        <w:rPr>
          <w:spacing w:val="-1"/>
          <w:sz w:val="22"/>
          <w:szCs w:val="22"/>
          <w:lang w:val="es-ES_tradnl"/>
        </w:rPr>
        <w:t>el laboreo</w:t>
      </w:r>
      <w:r w:rsidR="004D2CE8">
        <w:rPr>
          <w:spacing w:val="-1"/>
          <w:sz w:val="22"/>
          <w:szCs w:val="22"/>
          <w:lang w:val="es-ES_tradnl"/>
        </w:rPr>
        <w:t>.</w:t>
      </w:r>
    </w:p>
    <w:p w:rsidR="004772FE" w:rsidRPr="004772FE" w:rsidRDefault="004772FE" w:rsidP="004772FE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br w:type="page"/>
      </w:r>
      <w:r w:rsidRPr="004772FE">
        <w:rPr>
          <w:b/>
          <w:color w:val="000000"/>
          <w:sz w:val="22"/>
          <w:szCs w:val="22"/>
          <w:u w:val="single"/>
          <w:lang w:val="es-ES_tradnl"/>
        </w:rPr>
        <w:lastRenderedPageBreak/>
        <w:t>DATOS ANALITICOS DEL PERFIL TIPO</w:t>
      </w:r>
    </w:p>
    <w:p w:rsidR="004772FE" w:rsidRPr="004772FE" w:rsidRDefault="004772FE" w:rsidP="004772F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4772FE" w:rsidRPr="004772FE" w:rsidRDefault="004772FE" w:rsidP="004772F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4772FE">
        <w:rPr>
          <w:b/>
          <w:color w:val="000000"/>
          <w:sz w:val="22"/>
          <w:szCs w:val="22"/>
          <w:u w:val="single"/>
          <w:lang w:val="es-ES_tradnl"/>
        </w:rPr>
        <w:t xml:space="preserve">Serie </w:t>
      </w:r>
      <w:proofErr w:type="spellStart"/>
      <w:r w:rsidRPr="004772FE">
        <w:rPr>
          <w:b/>
          <w:color w:val="000000"/>
          <w:sz w:val="22"/>
          <w:szCs w:val="22"/>
          <w:u w:val="single"/>
          <w:lang w:val="es-ES_tradnl"/>
        </w:rPr>
        <w:t>Febré</w:t>
      </w:r>
      <w:proofErr w:type="spellEnd"/>
    </w:p>
    <w:p w:rsidR="004772FE" w:rsidRPr="004772FE" w:rsidRDefault="004772FE" w:rsidP="004772FE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tbl>
      <w:tblPr>
        <w:tblW w:w="68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708"/>
        <w:gridCol w:w="764"/>
        <w:gridCol w:w="709"/>
        <w:gridCol w:w="874"/>
        <w:gridCol w:w="984"/>
      </w:tblGrid>
      <w:tr w:rsidR="004772FE" w:rsidRPr="004772FE" w:rsidTr="00122721">
        <w:tc>
          <w:tcPr>
            <w:tcW w:w="2859" w:type="dxa"/>
            <w:gridSpan w:val="3"/>
          </w:tcPr>
          <w:p w:rsidR="004772FE" w:rsidRPr="004772FE" w:rsidRDefault="004772FE" w:rsidP="004772FE">
            <w:pPr>
              <w:rPr>
                <w:b/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ER3-</w:t>
            </w:r>
            <w:smartTag w:uri="urn:schemas-microsoft-com:office:smarttags" w:element="metricconverter">
              <w:smartTagPr>
                <w:attr w:name="ProductID" w:val="3C"/>
              </w:smartTagPr>
              <w:r w:rsidRPr="004772FE">
                <w:rPr>
                  <w:sz w:val="22"/>
                  <w:szCs w:val="22"/>
                </w:rPr>
                <w:t>3C</w:t>
              </w:r>
            </w:smartTag>
          </w:p>
        </w:tc>
        <w:tc>
          <w:tcPr>
            <w:tcW w:w="708" w:type="dxa"/>
          </w:tcPr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</w:tcPr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</w:p>
        </w:tc>
      </w:tr>
      <w:tr w:rsidR="004772FE" w:rsidRPr="004772FE" w:rsidTr="00122721">
        <w:tc>
          <w:tcPr>
            <w:tcW w:w="2859" w:type="dxa"/>
            <w:gridSpan w:val="3"/>
          </w:tcPr>
          <w:p w:rsidR="004772FE" w:rsidRPr="004772FE" w:rsidRDefault="004772FE" w:rsidP="004772FE">
            <w:pPr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111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112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113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114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115</w:t>
            </w:r>
          </w:p>
        </w:tc>
      </w:tr>
      <w:tr w:rsidR="004772FE" w:rsidRPr="004772FE" w:rsidTr="00122721">
        <w:tc>
          <w:tcPr>
            <w:tcW w:w="2859" w:type="dxa"/>
            <w:gridSpan w:val="3"/>
          </w:tcPr>
          <w:p w:rsidR="004772FE" w:rsidRPr="004772FE" w:rsidRDefault="004772FE" w:rsidP="004772FE">
            <w:pPr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4772FE"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B22ca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C</w:t>
            </w:r>
          </w:p>
        </w:tc>
      </w:tr>
      <w:tr w:rsidR="004772FE" w:rsidRPr="004772FE" w:rsidTr="00122721">
        <w:tc>
          <w:tcPr>
            <w:tcW w:w="2859" w:type="dxa"/>
            <w:gridSpan w:val="3"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Profundidad (cm)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05-18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37-55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67-80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96-110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118-132</w:t>
            </w:r>
          </w:p>
        </w:tc>
      </w:tr>
      <w:tr w:rsidR="004772FE" w:rsidRPr="004772FE" w:rsidTr="00122721">
        <w:tc>
          <w:tcPr>
            <w:tcW w:w="2859" w:type="dxa"/>
            <w:gridSpan w:val="3"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proofErr w:type="spellStart"/>
            <w:r w:rsidRPr="004772FE">
              <w:rPr>
                <w:sz w:val="22"/>
                <w:szCs w:val="22"/>
              </w:rPr>
              <w:t>Mat.orgánica</w:t>
            </w:r>
            <w:proofErr w:type="spellEnd"/>
            <w:r w:rsidRPr="004772F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4.29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3.19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1.38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0.28</w:t>
            </w:r>
          </w:p>
        </w:tc>
      </w:tr>
      <w:tr w:rsidR="004772FE" w:rsidRPr="004772FE" w:rsidTr="00122721"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64" w:type="dxa"/>
            <w:tcBorders>
              <w:bottom w:val="single" w:sz="6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874" w:type="dxa"/>
            <w:tcBorders>
              <w:bottom w:val="single" w:sz="6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7</w:t>
            </w:r>
          </w:p>
        </w:tc>
      </w:tr>
      <w:tr w:rsidR="004772FE" w:rsidRPr="004772FE" w:rsidTr="00122721">
        <w:tc>
          <w:tcPr>
            <w:tcW w:w="1429" w:type="dxa"/>
          </w:tcPr>
          <w:p w:rsidR="006D3FC3" w:rsidRDefault="006D3FC3" w:rsidP="004772FE">
            <w:pPr>
              <w:rPr>
                <w:sz w:val="22"/>
                <w:szCs w:val="22"/>
                <w:lang w:val="es-ES_tradnl"/>
              </w:rPr>
            </w:pPr>
          </w:p>
          <w:p w:rsidR="004772FE" w:rsidRPr="004772FE" w:rsidRDefault="004772FE" w:rsidP="004772FE">
            <w:pPr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 xml:space="preserve">T                             </w:t>
            </w:r>
          </w:p>
        </w:tc>
        <w:tc>
          <w:tcPr>
            <w:tcW w:w="1430" w:type="dxa"/>
            <w:gridSpan w:val="2"/>
          </w:tcPr>
          <w:p w:rsidR="006D3FC3" w:rsidRDefault="006D3FC3" w:rsidP="004772FE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4772FE" w:rsidRPr="004772FE" w:rsidRDefault="004772FE" w:rsidP="004772FE">
            <w:pPr>
              <w:jc w:val="right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 xml:space="preserve">&lt;2 </w:t>
            </w:r>
            <w:r w:rsidRPr="004772FE">
              <w:rPr>
                <w:sz w:val="22"/>
                <w:szCs w:val="22"/>
              </w:rPr>
              <w:t>µ</w:t>
            </w:r>
          </w:p>
        </w:tc>
        <w:tc>
          <w:tcPr>
            <w:tcW w:w="708" w:type="dxa"/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40.2</w:t>
            </w:r>
          </w:p>
        </w:tc>
        <w:tc>
          <w:tcPr>
            <w:tcW w:w="764" w:type="dxa"/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54.9</w:t>
            </w:r>
          </w:p>
        </w:tc>
        <w:tc>
          <w:tcPr>
            <w:tcW w:w="709" w:type="dxa"/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60.4</w:t>
            </w:r>
          </w:p>
        </w:tc>
        <w:tc>
          <w:tcPr>
            <w:tcW w:w="874" w:type="dxa"/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54.5</w:t>
            </w:r>
          </w:p>
        </w:tc>
      </w:tr>
      <w:tr w:rsidR="004772FE" w:rsidRPr="004772FE" w:rsidTr="00122721">
        <w:tc>
          <w:tcPr>
            <w:tcW w:w="1429" w:type="dxa"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30" w:type="dxa"/>
            <w:gridSpan w:val="2"/>
          </w:tcPr>
          <w:p w:rsidR="004772FE" w:rsidRPr="004772FE" w:rsidRDefault="004772FE" w:rsidP="004772FE">
            <w:pPr>
              <w:jc w:val="right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2-20 µ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29.6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19.8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12.2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27.2</w:t>
            </w:r>
          </w:p>
        </w:tc>
      </w:tr>
      <w:tr w:rsidR="004772FE" w:rsidRPr="004772FE" w:rsidTr="00122721">
        <w:tc>
          <w:tcPr>
            <w:tcW w:w="1429" w:type="dxa"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 xml:space="preserve">X                         </w:t>
            </w:r>
          </w:p>
        </w:tc>
        <w:tc>
          <w:tcPr>
            <w:tcW w:w="1430" w:type="dxa"/>
            <w:gridSpan w:val="2"/>
          </w:tcPr>
          <w:p w:rsidR="004772FE" w:rsidRPr="004772FE" w:rsidRDefault="004772FE" w:rsidP="004772FE">
            <w:pPr>
              <w:jc w:val="right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2-50 µ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54.2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40.2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36.0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42.9</w:t>
            </w:r>
          </w:p>
        </w:tc>
      </w:tr>
      <w:tr w:rsidR="004772FE" w:rsidRPr="004772FE" w:rsidTr="00122721">
        <w:tc>
          <w:tcPr>
            <w:tcW w:w="1429" w:type="dxa"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30" w:type="dxa"/>
            <w:gridSpan w:val="2"/>
          </w:tcPr>
          <w:p w:rsidR="004772FE" w:rsidRPr="004772FE" w:rsidRDefault="004772FE" w:rsidP="004772FE">
            <w:pPr>
              <w:jc w:val="right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50-100 µ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1.2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0.4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0.2</w:t>
            </w:r>
          </w:p>
        </w:tc>
      </w:tr>
      <w:tr w:rsidR="004772FE" w:rsidRPr="004772FE" w:rsidTr="00122721">
        <w:tc>
          <w:tcPr>
            <w:tcW w:w="1429" w:type="dxa"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30" w:type="dxa"/>
            <w:gridSpan w:val="2"/>
          </w:tcPr>
          <w:p w:rsidR="004772FE" w:rsidRPr="004772FE" w:rsidRDefault="004772FE" w:rsidP="004772FE">
            <w:pPr>
              <w:jc w:val="right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100-250 µ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3.3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2.2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1.9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1.4</w:t>
            </w:r>
          </w:p>
        </w:tc>
      </w:tr>
      <w:tr w:rsidR="004772FE" w:rsidRPr="004772FE" w:rsidTr="006D3FC3">
        <w:tc>
          <w:tcPr>
            <w:tcW w:w="1429" w:type="dxa"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 xml:space="preserve">R                     </w:t>
            </w:r>
          </w:p>
        </w:tc>
        <w:tc>
          <w:tcPr>
            <w:tcW w:w="1430" w:type="dxa"/>
            <w:gridSpan w:val="2"/>
          </w:tcPr>
          <w:p w:rsidR="004772FE" w:rsidRPr="004772FE" w:rsidRDefault="004772FE" w:rsidP="004772FE">
            <w:pPr>
              <w:jc w:val="right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250-500 µ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2.9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2.1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1.3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1.0</w:t>
            </w:r>
          </w:p>
        </w:tc>
      </w:tr>
      <w:tr w:rsidR="004772FE" w:rsidRPr="004772FE" w:rsidTr="006D3FC3">
        <w:trPr>
          <w:trHeight w:val="280"/>
        </w:trPr>
        <w:tc>
          <w:tcPr>
            <w:tcW w:w="1429" w:type="dxa"/>
            <w:tcBorders>
              <w:bottom w:val="single" w:sz="4" w:space="0" w:color="auto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 xml:space="preserve">A                   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</w:tcPr>
          <w:p w:rsidR="004772FE" w:rsidRPr="004772FE" w:rsidRDefault="004772FE" w:rsidP="004772FE">
            <w:pPr>
              <w:jc w:val="right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500-1000 µ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0.0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0.1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0.0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ND*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0.0</w:t>
            </w:r>
          </w:p>
        </w:tc>
      </w:tr>
      <w:tr w:rsidR="004772FE" w:rsidRPr="004772FE" w:rsidTr="006D3FC3">
        <w:trPr>
          <w:trHeight w:val="2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</w:p>
        </w:tc>
      </w:tr>
      <w:tr w:rsidR="004772FE" w:rsidRPr="004772FE" w:rsidTr="006D3FC3">
        <w:trPr>
          <w:trHeight w:val="320"/>
        </w:trPr>
        <w:tc>
          <w:tcPr>
            <w:tcW w:w="2859" w:type="dxa"/>
            <w:gridSpan w:val="3"/>
          </w:tcPr>
          <w:p w:rsidR="004772FE" w:rsidRPr="004772FE" w:rsidRDefault="004772FE" w:rsidP="004772FE">
            <w:pPr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CO</w:t>
            </w:r>
            <w:r w:rsidRPr="004772FE">
              <w:rPr>
                <w:sz w:val="22"/>
                <w:szCs w:val="22"/>
                <w:vertAlign w:val="subscript"/>
                <w:lang w:val="es-ES_tradnl"/>
              </w:rPr>
              <w:t>3</w:t>
            </w:r>
            <w:r w:rsidRPr="004772FE">
              <w:rPr>
                <w:sz w:val="22"/>
                <w:szCs w:val="22"/>
                <w:lang w:val="es-ES_tradnl"/>
              </w:rPr>
              <w:t>Ca (%)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15.6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17.1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2.2</w:t>
            </w:r>
          </w:p>
        </w:tc>
      </w:tr>
      <w:tr w:rsidR="004772FE" w:rsidRPr="004772FE" w:rsidTr="00122721">
        <w:tc>
          <w:tcPr>
            <w:tcW w:w="2859" w:type="dxa"/>
            <w:gridSpan w:val="3"/>
          </w:tcPr>
          <w:p w:rsidR="004772FE" w:rsidRPr="004772FE" w:rsidRDefault="004772FE" w:rsidP="004772FE">
            <w:pPr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pH H</w:t>
            </w:r>
            <w:r w:rsidRPr="004772FE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4772FE">
              <w:rPr>
                <w:sz w:val="22"/>
                <w:szCs w:val="22"/>
                <w:lang w:val="es-ES_tradnl"/>
              </w:rPr>
              <w:t>O (1:2,5)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7.6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7.7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8.2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8.4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8.2</w:t>
            </w:r>
          </w:p>
        </w:tc>
      </w:tr>
      <w:tr w:rsidR="004772FE" w:rsidRPr="004772FE" w:rsidTr="006D3FC3"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 xml:space="preserve">pH </w:t>
            </w:r>
            <w:proofErr w:type="spellStart"/>
            <w:r w:rsidRPr="004772FE">
              <w:rPr>
                <w:sz w:val="22"/>
                <w:szCs w:val="22"/>
              </w:rPr>
              <w:t>ClK</w:t>
            </w:r>
            <w:proofErr w:type="spellEnd"/>
            <w:r w:rsidRPr="004772FE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7.1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6.9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7.3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7.4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7.2</w:t>
            </w:r>
          </w:p>
        </w:tc>
      </w:tr>
      <w:tr w:rsidR="004772FE" w:rsidRPr="004772FE" w:rsidTr="006D3FC3"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4772FE" w:rsidRDefault="004772FE" w:rsidP="004772FE">
            <w:pPr>
              <w:rPr>
                <w:sz w:val="22"/>
                <w:szCs w:val="22"/>
              </w:rPr>
            </w:pPr>
          </w:p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CIC (</w:t>
            </w:r>
            <w:proofErr w:type="spellStart"/>
            <w:r w:rsidRPr="004772FE">
              <w:rPr>
                <w:sz w:val="22"/>
                <w:szCs w:val="22"/>
              </w:rPr>
              <w:t>meq</w:t>
            </w:r>
            <w:proofErr w:type="spellEnd"/>
            <w:r w:rsidRPr="004772FE">
              <w:rPr>
                <w:sz w:val="22"/>
                <w:szCs w:val="22"/>
              </w:rPr>
              <w:t>/100 g)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45.1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48.1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44.3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42.5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6D3FC3" w:rsidRDefault="006D3FC3" w:rsidP="006D3FC3">
            <w:pPr>
              <w:jc w:val="center"/>
              <w:rPr>
                <w:sz w:val="22"/>
                <w:szCs w:val="22"/>
              </w:rPr>
            </w:pPr>
          </w:p>
          <w:p w:rsid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43.0</w:t>
            </w:r>
          </w:p>
          <w:p w:rsidR="00987EBA" w:rsidRPr="004772FE" w:rsidRDefault="00987EBA" w:rsidP="006D3FC3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772FE" w:rsidRPr="004772FE" w:rsidTr="006D3FC3">
        <w:trPr>
          <w:cantSplit/>
          <w:trHeight w:val="300"/>
        </w:trPr>
        <w:tc>
          <w:tcPr>
            <w:tcW w:w="1630" w:type="dxa"/>
            <w:gridSpan w:val="2"/>
            <w:vMerge w:val="restart"/>
          </w:tcPr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</w:p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Cationes de cambio</w:t>
            </w:r>
          </w:p>
          <w:p w:rsidR="004772FE" w:rsidRPr="004772FE" w:rsidRDefault="004772FE" w:rsidP="004772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Ca</w:t>
            </w:r>
            <w:r w:rsidRPr="004772FE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</w:tr>
      <w:tr w:rsidR="004772FE" w:rsidRPr="004772FE" w:rsidTr="00122721"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Mg</w:t>
            </w:r>
            <w:r w:rsidRPr="004772FE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</w:tr>
      <w:tr w:rsidR="004772FE" w:rsidRPr="004772FE" w:rsidTr="00122721"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K</w:t>
            </w:r>
            <w:r w:rsidRPr="004772FE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1.8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1.1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1.2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1.1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1.3</w:t>
            </w:r>
          </w:p>
        </w:tc>
      </w:tr>
      <w:tr w:rsidR="004772FE" w:rsidRPr="004772FE" w:rsidTr="00122721"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proofErr w:type="spellStart"/>
            <w:r w:rsidRPr="004772FE">
              <w:rPr>
                <w:sz w:val="22"/>
                <w:szCs w:val="22"/>
              </w:rPr>
              <w:t>Na</w:t>
            </w:r>
            <w:proofErr w:type="spellEnd"/>
            <w:r w:rsidRPr="004772FE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3.5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4.8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  <w:lang w:val="en-US"/>
              </w:rPr>
              <w:t>4.9</w:t>
            </w:r>
          </w:p>
        </w:tc>
      </w:tr>
      <w:tr w:rsidR="004772FE" w:rsidRPr="004772FE" w:rsidTr="00122721"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H</w:t>
            </w:r>
            <w:r w:rsidRPr="004772FE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08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76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709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87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  <w:tc>
          <w:tcPr>
            <w:tcW w:w="984" w:type="dxa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n-US"/>
              </w:rPr>
            </w:pPr>
            <w:r w:rsidRPr="004772FE">
              <w:rPr>
                <w:sz w:val="22"/>
                <w:szCs w:val="22"/>
              </w:rPr>
              <w:t>ND</w:t>
            </w:r>
          </w:p>
        </w:tc>
      </w:tr>
      <w:tr w:rsidR="004772FE" w:rsidRPr="004772FE" w:rsidTr="004772FE"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4772FE" w:rsidRPr="004772FE" w:rsidRDefault="004772FE" w:rsidP="004772FE">
            <w:pPr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 xml:space="preserve">% </w:t>
            </w:r>
            <w:proofErr w:type="spellStart"/>
            <w:r w:rsidRPr="004772FE">
              <w:rPr>
                <w:sz w:val="22"/>
                <w:szCs w:val="22"/>
              </w:rPr>
              <w:t>Na</w:t>
            </w:r>
            <w:proofErr w:type="spellEnd"/>
            <w:r w:rsidRPr="004772FE">
              <w:rPr>
                <w:sz w:val="22"/>
                <w:szCs w:val="22"/>
              </w:rPr>
              <w:t xml:space="preserve"> / CIC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0.2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bottom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2.5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7.9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vAlign w:val="bottom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11.3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vAlign w:val="bottom"/>
          </w:tcPr>
          <w:p w:rsidR="004772FE" w:rsidRPr="004772FE" w:rsidRDefault="004772FE" w:rsidP="006D3FC3">
            <w:pPr>
              <w:jc w:val="center"/>
              <w:rPr>
                <w:sz w:val="22"/>
                <w:szCs w:val="22"/>
              </w:rPr>
            </w:pPr>
            <w:r w:rsidRPr="004772FE">
              <w:rPr>
                <w:sz w:val="22"/>
                <w:szCs w:val="22"/>
              </w:rPr>
              <w:t>11.4</w:t>
            </w:r>
          </w:p>
        </w:tc>
      </w:tr>
      <w:tr w:rsidR="004772FE" w:rsidRPr="004772FE" w:rsidTr="004772FE"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4772FE" w:rsidRDefault="004772FE" w:rsidP="004772FE">
            <w:pPr>
              <w:rPr>
                <w:sz w:val="22"/>
                <w:szCs w:val="22"/>
                <w:lang w:val="es-ES_tradnl"/>
              </w:rPr>
            </w:pPr>
          </w:p>
          <w:p w:rsidR="004772FE" w:rsidRPr="004772FE" w:rsidRDefault="004772FE" w:rsidP="004772FE">
            <w:pPr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36.7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47.1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50.7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53.1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772FE" w:rsidRPr="004772FE" w:rsidRDefault="004772FE" w:rsidP="006D3FC3">
            <w:pPr>
              <w:jc w:val="center"/>
              <w:rPr>
                <w:sz w:val="22"/>
                <w:szCs w:val="22"/>
                <w:lang w:val="es-ES_tradnl"/>
              </w:rPr>
            </w:pPr>
            <w:r w:rsidRPr="004772FE">
              <w:rPr>
                <w:sz w:val="22"/>
                <w:szCs w:val="22"/>
                <w:lang w:val="es-ES_tradnl"/>
              </w:rPr>
              <w:t>52.8</w:t>
            </w:r>
          </w:p>
        </w:tc>
      </w:tr>
    </w:tbl>
    <w:p w:rsidR="004772FE" w:rsidRPr="004772FE" w:rsidRDefault="004772FE" w:rsidP="004772FE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2"/>
          <w:szCs w:val="22"/>
          <w:lang w:val="es-ES_tradnl"/>
        </w:rPr>
      </w:pPr>
    </w:p>
    <w:p w:rsidR="004D2CE8" w:rsidRPr="004D2CE8" w:rsidRDefault="004D2CE8" w:rsidP="004772FE">
      <w:pPr>
        <w:tabs>
          <w:tab w:val="left" w:pos="-720"/>
        </w:tabs>
        <w:suppressAutoHyphens/>
        <w:jc w:val="both"/>
        <w:rPr>
          <w:bCs/>
          <w:spacing w:val="-1"/>
          <w:sz w:val="22"/>
          <w:szCs w:val="22"/>
          <w:lang w:val="es-ES_tradnl"/>
        </w:rPr>
      </w:pPr>
      <w:r w:rsidRPr="004D2CE8">
        <w:rPr>
          <w:bCs/>
          <w:spacing w:val="-1"/>
          <w:sz w:val="22"/>
          <w:szCs w:val="22"/>
          <w:lang w:val="es-ES_tradnl"/>
        </w:rPr>
        <w:t>ND: No determinado por presencia de gran cantidad de carbonatos</w:t>
      </w:r>
    </w:p>
    <w:p w:rsidR="004D2CE8" w:rsidRDefault="004D2CE8" w:rsidP="004772FE">
      <w:pPr>
        <w:tabs>
          <w:tab w:val="left" w:pos="-720"/>
        </w:tabs>
        <w:suppressAutoHyphens/>
        <w:jc w:val="both"/>
        <w:rPr>
          <w:b/>
          <w:bCs/>
          <w:spacing w:val="-1"/>
          <w:sz w:val="22"/>
          <w:szCs w:val="22"/>
          <w:u w:val="single"/>
          <w:lang w:val="es-ES_tradnl"/>
        </w:rPr>
      </w:pP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  <w:r w:rsidRPr="004772FE">
        <w:rPr>
          <w:b/>
          <w:bCs/>
          <w:spacing w:val="-1"/>
          <w:sz w:val="22"/>
          <w:szCs w:val="22"/>
          <w:u w:val="single"/>
          <w:lang w:val="es-ES_tradnl"/>
        </w:rPr>
        <w:t>Observaciones:</w:t>
      </w:r>
      <w:r w:rsidRPr="004772FE">
        <w:rPr>
          <w:spacing w:val="-1"/>
          <w:sz w:val="22"/>
          <w:szCs w:val="22"/>
          <w:u w:val="single"/>
          <w:lang w:val="es-ES_tradnl"/>
        </w:rPr>
        <w:t xml:space="preserve"> </w:t>
      </w:r>
    </w:p>
    <w:p w:rsidR="004772FE" w:rsidRPr="004772FE" w:rsidRDefault="004772FE" w:rsidP="004772F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772FE">
        <w:rPr>
          <w:spacing w:val="-1"/>
          <w:sz w:val="22"/>
          <w:szCs w:val="22"/>
          <w:lang w:val="es-ES_tradnl"/>
        </w:rPr>
        <w:t>Los porcentajes de arcilla fueron ratificados por tres repeticiones. Sin embargo, por la poca relación con el equivalente de humedad son dudosos.</w:t>
      </w:r>
    </w:p>
    <w:p w:rsidR="007177A5" w:rsidRPr="004772FE" w:rsidRDefault="007177A5" w:rsidP="004772FE">
      <w:pPr>
        <w:rPr>
          <w:sz w:val="22"/>
          <w:szCs w:val="22"/>
        </w:rPr>
      </w:pPr>
    </w:p>
    <w:sectPr w:rsidR="007177A5" w:rsidRPr="004772FE" w:rsidSect="004772FE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2FE"/>
    <w:rsid w:val="004772FE"/>
    <w:rsid w:val="004D2CE8"/>
    <w:rsid w:val="006D3FC3"/>
    <w:rsid w:val="007177A5"/>
    <w:rsid w:val="00987EBA"/>
    <w:rsid w:val="00D8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dcterms:created xsi:type="dcterms:W3CDTF">2014-02-11T13:44:00Z</dcterms:created>
  <dcterms:modified xsi:type="dcterms:W3CDTF">2014-02-11T14:26:00Z</dcterms:modified>
</cp:coreProperties>
</file>