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F3A" w:rsidRPr="00691F3A" w:rsidRDefault="00691F3A" w:rsidP="00691F3A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691F3A" w:rsidRPr="00691F3A" w:rsidRDefault="00691F3A" w:rsidP="00691F3A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4" w:color="auto" w:shadow="1"/>
        </w:pBdr>
        <w:rPr>
          <w:szCs w:val="24"/>
        </w:rPr>
      </w:pPr>
      <w:r w:rsidRPr="00691F3A">
        <w:rPr>
          <w:b/>
          <w:szCs w:val="24"/>
        </w:rPr>
        <w:t xml:space="preserve">SERIE </w:t>
      </w:r>
      <w:r w:rsidRPr="00691F3A">
        <w:rPr>
          <w:b/>
          <w:bCs/>
          <w:szCs w:val="24"/>
          <w:lang w:val="es-ES_tradnl"/>
        </w:rPr>
        <w:t>LA JUANITA</w:t>
      </w:r>
      <w:r w:rsidRPr="00691F3A">
        <w:rPr>
          <w:szCs w:val="24"/>
        </w:rPr>
        <w:t xml:space="preserve">                                                                                       Símbolo: </w:t>
      </w:r>
      <w:proofErr w:type="spellStart"/>
      <w:r w:rsidRPr="00691F3A">
        <w:rPr>
          <w:b/>
          <w:szCs w:val="24"/>
        </w:rPr>
        <w:t>LJu</w:t>
      </w:r>
      <w:proofErr w:type="spellEnd"/>
    </w:p>
    <w:p w:rsidR="00691F3A" w:rsidRDefault="00691F3A" w:rsidP="00691F3A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691F3A" w:rsidRPr="00691F3A" w:rsidRDefault="00691F3A" w:rsidP="00691F3A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691F3A" w:rsidRPr="00691F3A" w:rsidRDefault="00691F3A" w:rsidP="00691F3A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691F3A">
        <w:rPr>
          <w:rFonts w:ascii="Times New Roman" w:hAnsi="Times New Roman"/>
          <w:sz w:val="22"/>
          <w:szCs w:val="22"/>
          <w:lang w:val="es-ES_tradnl"/>
        </w:rPr>
        <w:t xml:space="preserve">Pertenece a la familia "fina, mixta, térmica" de los </w:t>
      </w:r>
      <w:proofErr w:type="spellStart"/>
      <w:r w:rsidRPr="00691F3A">
        <w:rPr>
          <w:rFonts w:ascii="Times New Roman" w:hAnsi="Times New Roman"/>
          <w:sz w:val="22"/>
          <w:szCs w:val="22"/>
          <w:u w:val="single"/>
          <w:lang w:val="es-ES_tradnl"/>
        </w:rPr>
        <w:t>Argiudoles</w:t>
      </w:r>
      <w:proofErr w:type="spellEnd"/>
      <w:r w:rsidRPr="00691F3A">
        <w:rPr>
          <w:rFonts w:ascii="Times New Roman" w:hAnsi="Times New Roman"/>
          <w:sz w:val="22"/>
          <w:szCs w:val="22"/>
          <w:u w:val="single"/>
          <w:lang w:val="es-ES_tradnl"/>
        </w:rPr>
        <w:t xml:space="preserve"> </w:t>
      </w:r>
      <w:proofErr w:type="spellStart"/>
      <w:r w:rsidRPr="00691F3A">
        <w:rPr>
          <w:rFonts w:ascii="Times New Roman" w:hAnsi="Times New Roman"/>
          <w:sz w:val="22"/>
          <w:szCs w:val="22"/>
          <w:u w:val="single"/>
          <w:lang w:val="es-ES_tradnl"/>
        </w:rPr>
        <w:t>rendólicos</w:t>
      </w:r>
      <w:proofErr w:type="spellEnd"/>
      <w:r w:rsidRPr="00691F3A">
        <w:rPr>
          <w:rFonts w:ascii="Times New Roman" w:hAnsi="Times New Roman"/>
          <w:sz w:val="22"/>
          <w:szCs w:val="22"/>
          <w:lang w:val="es-ES_tradnl"/>
        </w:rPr>
        <w:t xml:space="preserve">. Son suelos poco profundos, moderadamente bien drenados, con un </w:t>
      </w:r>
      <w:proofErr w:type="spellStart"/>
      <w:r w:rsidRPr="00691F3A">
        <w:rPr>
          <w:rFonts w:ascii="Times New Roman" w:hAnsi="Times New Roman"/>
          <w:sz w:val="22"/>
          <w:szCs w:val="22"/>
          <w:lang w:val="es-ES_tradnl"/>
        </w:rPr>
        <w:t>epipedón</w:t>
      </w:r>
      <w:proofErr w:type="spellEnd"/>
      <w:r w:rsidRPr="00691F3A">
        <w:rPr>
          <w:rFonts w:ascii="Times New Roman" w:hAnsi="Times New Roman"/>
          <w:sz w:val="22"/>
          <w:szCs w:val="22"/>
          <w:lang w:val="es-ES_tradnl"/>
        </w:rPr>
        <w:t xml:space="preserve"> oscuro, franco-limoso, y un horizonte </w:t>
      </w:r>
      <w:proofErr w:type="spellStart"/>
      <w:r w:rsidRPr="00691F3A">
        <w:rPr>
          <w:rFonts w:ascii="Times New Roman" w:hAnsi="Times New Roman"/>
          <w:sz w:val="22"/>
          <w:szCs w:val="22"/>
          <w:lang w:val="es-ES_tradnl"/>
        </w:rPr>
        <w:t>argílico</w:t>
      </w:r>
      <w:proofErr w:type="spellEnd"/>
      <w:r w:rsidRPr="00691F3A">
        <w:rPr>
          <w:rFonts w:ascii="Times New Roman" w:hAnsi="Times New Roman"/>
          <w:sz w:val="22"/>
          <w:szCs w:val="22"/>
          <w:lang w:val="es-ES_tradnl"/>
        </w:rPr>
        <w:t xml:space="preserve"> somero y levemente desarrollado, franco-limoso a arcillo-limoso, de color pardo grisáceo oscuro.</w:t>
      </w:r>
    </w:p>
    <w:p w:rsidR="00691F3A" w:rsidRPr="00691F3A" w:rsidRDefault="00691F3A" w:rsidP="00691F3A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691F3A" w:rsidRPr="00691F3A" w:rsidRDefault="00691F3A" w:rsidP="00691F3A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691F3A">
        <w:rPr>
          <w:rFonts w:ascii="Times New Roman" w:hAnsi="Times New Roman"/>
          <w:sz w:val="22"/>
          <w:szCs w:val="22"/>
          <w:lang w:val="es-ES_tradnl"/>
        </w:rPr>
        <w:t xml:space="preserve">Presenta concreciones de carbonatos y calcáreo libre en la masa prácticamente en todo el perfil. Son suelos desarrollados en materiales </w:t>
      </w:r>
      <w:proofErr w:type="spellStart"/>
      <w:r w:rsidRPr="00691F3A">
        <w:rPr>
          <w:rFonts w:ascii="Times New Roman" w:hAnsi="Times New Roman"/>
          <w:sz w:val="22"/>
          <w:szCs w:val="22"/>
          <w:lang w:val="es-ES_tradnl"/>
        </w:rPr>
        <w:t>loessoides</w:t>
      </w:r>
      <w:proofErr w:type="spellEnd"/>
      <w:r w:rsidRPr="00691F3A">
        <w:rPr>
          <w:rFonts w:ascii="Times New Roman" w:hAnsi="Times New Roman"/>
          <w:sz w:val="22"/>
          <w:szCs w:val="22"/>
          <w:lang w:val="es-ES_tradnl"/>
        </w:rPr>
        <w:t xml:space="preserve"> muy heterogéneos en corta distancia, que se han depositado sobre materiales calcáreos consolidados muy antiguos (bancos de "tosca" calcárea de edad pliocena/pleistocena).</w:t>
      </w:r>
    </w:p>
    <w:p w:rsidR="00691F3A" w:rsidRPr="00691F3A" w:rsidRDefault="00691F3A" w:rsidP="00691F3A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691F3A" w:rsidRPr="00691F3A" w:rsidRDefault="00691F3A" w:rsidP="00691F3A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691F3A" w:rsidRPr="00691F3A" w:rsidRDefault="00691F3A" w:rsidP="00691F3A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691F3A">
        <w:rPr>
          <w:rFonts w:ascii="Times New Roman" w:hAnsi="Times New Roman"/>
          <w:b/>
          <w:sz w:val="22"/>
          <w:szCs w:val="22"/>
          <w:u w:val="single"/>
          <w:lang w:val="es-ES_tradnl"/>
        </w:rPr>
        <w:t>Perfil tipo:</w:t>
      </w:r>
      <w:r w:rsidRPr="00691F3A">
        <w:rPr>
          <w:rFonts w:ascii="Times New Roman" w:hAnsi="Times New Roman"/>
          <w:sz w:val="22"/>
          <w:szCs w:val="22"/>
          <w:lang w:val="es-ES_tradnl"/>
        </w:rPr>
        <w:t xml:space="preserve"> ER7-84C</w:t>
      </w:r>
    </w:p>
    <w:p w:rsidR="00691F3A" w:rsidRPr="00691F3A" w:rsidRDefault="00691F3A" w:rsidP="00691F3A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691F3A">
        <w:rPr>
          <w:rFonts w:ascii="Times New Roman" w:hAnsi="Times New Roman"/>
          <w:b/>
          <w:sz w:val="22"/>
          <w:szCs w:val="22"/>
          <w:lang w:val="es-ES_tradnl"/>
        </w:rPr>
        <w:t>Fecha:</w:t>
      </w:r>
      <w:r w:rsidRPr="00691F3A">
        <w:rPr>
          <w:rFonts w:ascii="Times New Roman" w:hAnsi="Times New Roman"/>
          <w:sz w:val="22"/>
          <w:szCs w:val="22"/>
          <w:lang w:val="es-ES_tradnl"/>
        </w:rPr>
        <w:t xml:space="preserve"> 30-VI-1989.</w:t>
      </w:r>
    </w:p>
    <w:p w:rsidR="00691F3A" w:rsidRPr="00691F3A" w:rsidRDefault="00691F3A" w:rsidP="00691F3A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691F3A">
        <w:rPr>
          <w:rFonts w:ascii="Times New Roman" w:hAnsi="Times New Roman"/>
          <w:b/>
          <w:sz w:val="22"/>
          <w:szCs w:val="22"/>
          <w:lang w:val="es-ES_tradnl"/>
        </w:rPr>
        <w:t>Ubicación:</w:t>
      </w:r>
      <w:r w:rsidRPr="00691F3A">
        <w:rPr>
          <w:rFonts w:ascii="Times New Roman" w:hAnsi="Times New Roman"/>
          <w:sz w:val="22"/>
          <w:szCs w:val="22"/>
          <w:lang w:val="es-ES_tradnl"/>
        </w:rPr>
        <w:t xml:space="preserve"> Colonia Ensayo (foto 446-95) - Dpto. Diamante.</w:t>
      </w:r>
    </w:p>
    <w:p w:rsidR="00691F3A" w:rsidRPr="00691F3A" w:rsidRDefault="00691F3A" w:rsidP="00691F3A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691F3A">
        <w:rPr>
          <w:rFonts w:ascii="Times New Roman" w:hAnsi="Times New Roman"/>
          <w:b/>
          <w:sz w:val="22"/>
          <w:szCs w:val="22"/>
          <w:lang w:val="es-ES_tradnl"/>
        </w:rPr>
        <w:t>Reconocedores:</w:t>
      </w:r>
      <w:r w:rsidRPr="00691F3A">
        <w:rPr>
          <w:rFonts w:ascii="Times New Roman" w:hAnsi="Times New Roman"/>
          <w:sz w:val="22"/>
          <w:szCs w:val="22"/>
          <w:lang w:val="es-ES_tradnl"/>
        </w:rPr>
        <w:t xml:space="preserve"> L.O. López; C.V. Acosta.</w:t>
      </w:r>
    </w:p>
    <w:p w:rsidR="00691F3A" w:rsidRDefault="00691F3A" w:rsidP="00691F3A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691F3A" w:rsidRPr="00691F3A" w:rsidRDefault="00691F3A" w:rsidP="00691F3A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691F3A" w:rsidRPr="00691F3A" w:rsidRDefault="00691F3A" w:rsidP="00691F3A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proofErr w:type="spellStart"/>
      <w:r w:rsidRPr="00691F3A">
        <w:rPr>
          <w:rFonts w:ascii="Times New Roman" w:hAnsi="Times New Roman"/>
          <w:b/>
          <w:sz w:val="22"/>
          <w:szCs w:val="22"/>
          <w:lang w:val="es-ES_tradnl"/>
        </w:rPr>
        <w:t>Ap</w:t>
      </w:r>
      <w:proofErr w:type="spellEnd"/>
      <w:r w:rsidRPr="00691F3A">
        <w:rPr>
          <w:rFonts w:ascii="Times New Roman" w:hAnsi="Times New Roman"/>
          <w:sz w:val="22"/>
          <w:szCs w:val="22"/>
          <w:lang w:val="es-ES_tradnl"/>
        </w:rPr>
        <w:t>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691F3A">
        <w:rPr>
          <w:rFonts w:ascii="Times New Roman" w:hAnsi="Times New Roman"/>
          <w:sz w:val="22"/>
          <w:szCs w:val="22"/>
          <w:lang w:val="es-ES_tradnl"/>
        </w:rPr>
        <w:t xml:space="preserve">00-19 cm; gris muy oscuro a pardo grisáceo muy oscuro (10YR 3/1.5) en húmedo; gris (10YR 5/1) en seco; franco-limoso; estructura granular y en bloques </w:t>
      </w:r>
      <w:proofErr w:type="spellStart"/>
      <w:r w:rsidRPr="00691F3A">
        <w:rPr>
          <w:rFonts w:ascii="Times New Roman" w:hAnsi="Times New Roman"/>
          <w:sz w:val="22"/>
          <w:szCs w:val="22"/>
          <w:lang w:val="es-ES_tradnl"/>
        </w:rPr>
        <w:t>subangulares</w:t>
      </w:r>
      <w:proofErr w:type="spellEnd"/>
      <w:r w:rsidRPr="00691F3A">
        <w:rPr>
          <w:rFonts w:ascii="Times New Roman" w:hAnsi="Times New Roman"/>
          <w:sz w:val="22"/>
          <w:szCs w:val="22"/>
          <w:lang w:val="es-ES_tradnl"/>
        </w:rPr>
        <w:t>, medios, débiles; duro en seco; friable en húmedo; barnices "</w:t>
      </w:r>
      <w:proofErr w:type="spellStart"/>
      <w:r w:rsidRPr="00691F3A">
        <w:rPr>
          <w:rFonts w:ascii="Times New Roman" w:hAnsi="Times New Roman"/>
          <w:sz w:val="22"/>
          <w:szCs w:val="22"/>
          <w:lang w:val="es-ES_tradnl"/>
        </w:rPr>
        <w:t>humic</w:t>
      </w:r>
      <w:proofErr w:type="spellEnd"/>
      <w:r w:rsidRPr="00691F3A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691F3A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691F3A">
        <w:rPr>
          <w:rFonts w:ascii="Times New Roman" w:hAnsi="Times New Roman"/>
          <w:sz w:val="22"/>
          <w:szCs w:val="22"/>
          <w:lang w:val="es-ES_tradnl"/>
        </w:rPr>
        <w:t>" y "</w:t>
      </w:r>
      <w:proofErr w:type="spellStart"/>
      <w:r w:rsidRPr="00691F3A">
        <w:rPr>
          <w:rFonts w:ascii="Times New Roman" w:hAnsi="Times New Roman"/>
          <w:sz w:val="22"/>
          <w:szCs w:val="22"/>
          <w:lang w:val="es-ES_tradnl"/>
        </w:rPr>
        <w:t>clay</w:t>
      </w:r>
      <w:proofErr w:type="spellEnd"/>
      <w:r w:rsidRPr="00691F3A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691F3A">
        <w:rPr>
          <w:rFonts w:ascii="Times New Roman" w:hAnsi="Times New Roman"/>
          <w:sz w:val="22"/>
          <w:szCs w:val="22"/>
          <w:lang w:val="es-ES_tradnl"/>
        </w:rPr>
        <w:t>humic</w:t>
      </w:r>
      <w:proofErr w:type="spellEnd"/>
      <w:r w:rsidRPr="00691F3A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691F3A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691F3A">
        <w:rPr>
          <w:rFonts w:ascii="Times New Roman" w:hAnsi="Times New Roman"/>
          <w:sz w:val="22"/>
          <w:szCs w:val="22"/>
          <w:lang w:val="es-ES_tradnl"/>
        </w:rPr>
        <w:t>", abundantes, medios; moteados de hierro escasos, finos, débiles; límite abrupto, suave.</w:t>
      </w:r>
    </w:p>
    <w:p w:rsidR="00691F3A" w:rsidRPr="00691F3A" w:rsidRDefault="00691F3A" w:rsidP="00691F3A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691F3A" w:rsidRPr="00691F3A" w:rsidRDefault="00691F3A" w:rsidP="00691F3A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691F3A">
        <w:rPr>
          <w:rFonts w:ascii="Times New Roman" w:hAnsi="Times New Roman"/>
          <w:b/>
          <w:sz w:val="22"/>
          <w:szCs w:val="22"/>
          <w:lang w:val="es-ES_tradnl"/>
        </w:rPr>
        <w:t>B21tca</w:t>
      </w:r>
      <w:r w:rsidRPr="00691F3A">
        <w:rPr>
          <w:rFonts w:ascii="Times New Roman" w:hAnsi="Times New Roman"/>
          <w:sz w:val="22"/>
          <w:szCs w:val="22"/>
          <w:lang w:val="es-ES_tradnl"/>
        </w:rPr>
        <w:t>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691F3A">
        <w:rPr>
          <w:rFonts w:ascii="Times New Roman" w:hAnsi="Times New Roman"/>
          <w:sz w:val="22"/>
          <w:szCs w:val="22"/>
          <w:lang w:val="es-ES_tradnl"/>
        </w:rPr>
        <w:t xml:space="preserve">19-34 cm; pardo muy oscuro a pardo grisáceo muy oscuro (10YR 3.5/2) en húmedo; pardo grisáceo (10YR5.2) en seco; franco-arcillo-limoso; estructura en bloques angulares irregulares y bloques cuneiformes que rompen en bloques </w:t>
      </w:r>
      <w:proofErr w:type="spellStart"/>
      <w:r w:rsidRPr="00691F3A">
        <w:rPr>
          <w:rFonts w:ascii="Times New Roman" w:hAnsi="Times New Roman"/>
          <w:sz w:val="22"/>
          <w:szCs w:val="22"/>
          <w:lang w:val="es-ES_tradnl"/>
        </w:rPr>
        <w:t>subangulares</w:t>
      </w:r>
      <w:proofErr w:type="spellEnd"/>
      <w:r w:rsidRPr="00691F3A">
        <w:rPr>
          <w:rFonts w:ascii="Times New Roman" w:hAnsi="Times New Roman"/>
          <w:sz w:val="22"/>
          <w:szCs w:val="22"/>
          <w:lang w:val="es-ES_tradnl"/>
        </w:rPr>
        <w:t>, medios, moderados; extremadamente duro en seco; firme en húmedo; barnices "</w:t>
      </w:r>
      <w:proofErr w:type="spellStart"/>
      <w:r w:rsidRPr="00691F3A">
        <w:rPr>
          <w:rFonts w:ascii="Times New Roman" w:hAnsi="Times New Roman"/>
          <w:sz w:val="22"/>
          <w:szCs w:val="22"/>
          <w:lang w:val="es-ES_tradnl"/>
        </w:rPr>
        <w:t>clay</w:t>
      </w:r>
      <w:proofErr w:type="spellEnd"/>
      <w:r w:rsidRPr="00691F3A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691F3A">
        <w:rPr>
          <w:rFonts w:ascii="Times New Roman" w:hAnsi="Times New Roman"/>
          <w:sz w:val="22"/>
          <w:szCs w:val="22"/>
          <w:lang w:val="es-ES_tradnl"/>
        </w:rPr>
        <w:t>humic</w:t>
      </w:r>
      <w:proofErr w:type="spellEnd"/>
      <w:r w:rsidRPr="00691F3A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691F3A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691F3A">
        <w:rPr>
          <w:rFonts w:ascii="Times New Roman" w:hAnsi="Times New Roman"/>
          <w:sz w:val="22"/>
          <w:szCs w:val="22"/>
          <w:lang w:val="es-ES_tradnl"/>
        </w:rPr>
        <w:t>" y "</w:t>
      </w:r>
      <w:proofErr w:type="spellStart"/>
      <w:r w:rsidRPr="00691F3A">
        <w:rPr>
          <w:rFonts w:ascii="Times New Roman" w:hAnsi="Times New Roman"/>
          <w:sz w:val="22"/>
          <w:szCs w:val="22"/>
          <w:lang w:val="es-ES_tradnl"/>
        </w:rPr>
        <w:t>clay</w:t>
      </w:r>
      <w:proofErr w:type="spellEnd"/>
      <w:r w:rsidRPr="00691F3A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691F3A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691F3A">
        <w:rPr>
          <w:rFonts w:ascii="Times New Roman" w:hAnsi="Times New Roman"/>
          <w:sz w:val="22"/>
          <w:szCs w:val="22"/>
          <w:lang w:val="es-ES_tradnl"/>
        </w:rPr>
        <w:t>", abundantes, medios y gruesos; caras de fricción ("</w:t>
      </w:r>
      <w:proofErr w:type="spellStart"/>
      <w:r w:rsidRPr="00691F3A">
        <w:rPr>
          <w:rFonts w:ascii="Times New Roman" w:hAnsi="Times New Roman"/>
          <w:sz w:val="22"/>
          <w:szCs w:val="22"/>
          <w:lang w:val="es-ES_tradnl"/>
        </w:rPr>
        <w:t>slickensides</w:t>
      </w:r>
      <w:proofErr w:type="spellEnd"/>
      <w:r w:rsidRPr="00691F3A">
        <w:rPr>
          <w:rFonts w:ascii="Times New Roman" w:hAnsi="Times New Roman"/>
          <w:sz w:val="22"/>
          <w:szCs w:val="22"/>
          <w:lang w:val="es-ES_tradnl"/>
        </w:rPr>
        <w:t>") finas, intersectadas; moteados de hierro comunes, precisos y finos; abundante cantidad de carbonatos libres en la masa; concreciones calcáreas abundantes; límite gradual, ondulado.</w:t>
      </w:r>
    </w:p>
    <w:p w:rsidR="00691F3A" w:rsidRPr="00691F3A" w:rsidRDefault="00691F3A" w:rsidP="00691F3A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691F3A" w:rsidRPr="00691F3A" w:rsidRDefault="00691F3A" w:rsidP="00691F3A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691F3A">
        <w:rPr>
          <w:rFonts w:ascii="Times New Roman" w:hAnsi="Times New Roman"/>
          <w:b/>
          <w:sz w:val="22"/>
          <w:szCs w:val="22"/>
          <w:lang w:val="es-ES_tradnl"/>
        </w:rPr>
        <w:t>B22tca</w:t>
      </w:r>
      <w:r w:rsidRPr="00691F3A">
        <w:rPr>
          <w:rFonts w:ascii="Times New Roman" w:hAnsi="Times New Roman"/>
          <w:sz w:val="22"/>
          <w:szCs w:val="22"/>
          <w:lang w:val="es-ES_tradnl"/>
        </w:rPr>
        <w:t>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691F3A">
        <w:rPr>
          <w:rFonts w:ascii="Times New Roman" w:hAnsi="Times New Roman"/>
          <w:sz w:val="22"/>
          <w:szCs w:val="22"/>
          <w:lang w:val="es-ES_tradnl"/>
        </w:rPr>
        <w:t xml:space="preserve">34-51 cm; pardo grisáceo (10YR 5/2) en húmedo; franco-arcillo-limoso; estructura en bloques angulares irregulares y bloques cuneiformes, medios, moderados, que rompen en bloques </w:t>
      </w:r>
      <w:proofErr w:type="spellStart"/>
      <w:r w:rsidRPr="00691F3A">
        <w:rPr>
          <w:rFonts w:ascii="Times New Roman" w:hAnsi="Times New Roman"/>
          <w:sz w:val="22"/>
          <w:szCs w:val="22"/>
          <w:lang w:val="es-ES_tradnl"/>
        </w:rPr>
        <w:t>subangulares</w:t>
      </w:r>
      <w:proofErr w:type="spellEnd"/>
      <w:r w:rsidRPr="00691F3A">
        <w:rPr>
          <w:rFonts w:ascii="Times New Roman" w:hAnsi="Times New Roman"/>
          <w:sz w:val="22"/>
          <w:szCs w:val="22"/>
          <w:lang w:val="es-ES_tradnl"/>
        </w:rPr>
        <w:t>, medios, débiles; extremadamente duro en seco; friable en húmedo; barnices "</w:t>
      </w:r>
      <w:proofErr w:type="spellStart"/>
      <w:r w:rsidRPr="00691F3A">
        <w:rPr>
          <w:rFonts w:ascii="Times New Roman" w:hAnsi="Times New Roman"/>
          <w:sz w:val="22"/>
          <w:szCs w:val="22"/>
          <w:lang w:val="es-ES_tradnl"/>
        </w:rPr>
        <w:t>clay</w:t>
      </w:r>
      <w:proofErr w:type="spellEnd"/>
      <w:r w:rsidRPr="00691F3A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691F3A">
        <w:rPr>
          <w:rFonts w:ascii="Times New Roman" w:hAnsi="Times New Roman"/>
          <w:sz w:val="22"/>
          <w:szCs w:val="22"/>
          <w:lang w:val="es-ES_tradnl"/>
        </w:rPr>
        <w:t>humic</w:t>
      </w:r>
      <w:proofErr w:type="spellEnd"/>
      <w:r w:rsidRPr="00691F3A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691F3A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691F3A">
        <w:rPr>
          <w:rFonts w:ascii="Times New Roman" w:hAnsi="Times New Roman"/>
          <w:sz w:val="22"/>
          <w:szCs w:val="22"/>
          <w:lang w:val="es-ES_tradnl"/>
        </w:rPr>
        <w:t>" escasos, finos, y "</w:t>
      </w:r>
      <w:proofErr w:type="spellStart"/>
      <w:r w:rsidRPr="00691F3A">
        <w:rPr>
          <w:rFonts w:ascii="Times New Roman" w:hAnsi="Times New Roman"/>
          <w:sz w:val="22"/>
          <w:szCs w:val="22"/>
          <w:lang w:val="es-ES_tradnl"/>
        </w:rPr>
        <w:t>clay</w:t>
      </w:r>
      <w:proofErr w:type="spellEnd"/>
      <w:r w:rsidRPr="00691F3A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691F3A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691F3A">
        <w:rPr>
          <w:rFonts w:ascii="Times New Roman" w:hAnsi="Times New Roman"/>
          <w:sz w:val="22"/>
          <w:szCs w:val="22"/>
          <w:lang w:val="es-ES_tradnl"/>
        </w:rPr>
        <w:t>", abundantes y medios; caras de fricción ("</w:t>
      </w:r>
      <w:proofErr w:type="spellStart"/>
      <w:r w:rsidRPr="00691F3A">
        <w:rPr>
          <w:rFonts w:ascii="Times New Roman" w:hAnsi="Times New Roman"/>
          <w:sz w:val="22"/>
          <w:szCs w:val="22"/>
          <w:lang w:val="es-ES_tradnl"/>
        </w:rPr>
        <w:t>slickensides</w:t>
      </w:r>
      <w:proofErr w:type="spellEnd"/>
      <w:r w:rsidRPr="00691F3A">
        <w:rPr>
          <w:rFonts w:ascii="Times New Roman" w:hAnsi="Times New Roman"/>
          <w:sz w:val="22"/>
          <w:szCs w:val="22"/>
          <w:lang w:val="es-ES_tradnl"/>
        </w:rPr>
        <w:t>") abundantes, finas e intersectadas; abundante cantidad de carbonatos libres en la masa; concreciones y rodados calcáreos de hasta 5 cm, abundantes; límite gradual, suave.</w:t>
      </w:r>
    </w:p>
    <w:p w:rsidR="00691F3A" w:rsidRPr="00691F3A" w:rsidRDefault="00691F3A" w:rsidP="00691F3A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691F3A" w:rsidRPr="00691F3A" w:rsidRDefault="00691F3A" w:rsidP="00691F3A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691F3A">
        <w:rPr>
          <w:rFonts w:ascii="Times New Roman" w:hAnsi="Times New Roman"/>
          <w:b/>
          <w:sz w:val="22"/>
          <w:szCs w:val="22"/>
          <w:lang w:val="es-ES_tradnl"/>
        </w:rPr>
        <w:t>B3ca</w:t>
      </w:r>
      <w:r w:rsidRPr="00691F3A">
        <w:rPr>
          <w:rFonts w:ascii="Times New Roman" w:hAnsi="Times New Roman"/>
          <w:sz w:val="22"/>
          <w:szCs w:val="22"/>
          <w:lang w:val="es-ES_tradnl"/>
        </w:rPr>
        <w:t>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691F3A">
        <w:rPr>
          <w:rFonts w:ascii="Times New Roman" w:hAnsi="Times New Roman"/>
          <w:sz w:val="22"/>
          <w:szCs w:val="22"/>
          <w:lang w:val="es-ES_tradnl"/>
        </w:rPr>
        <w:t>51-70 cm; pardo grisáceo (10YR 5/2) en húmedo; franco-limoso; estructura bloques cuneiformes, medios, moderados, friable en húmedo; barnices "</w:t>
      </w:r>
      <w:proofErr w:type="spellStart"/>
      <w:r w:rsidRPr="00691F3A">
        <w:rPr>
          <w:rFonts w:ascii="Times New Roman" w:hAnsi="Times New Roman"/>
          <w:sz w:val="22"/>
          <w:szCs w:val="22"/>
          <w:lang w:val="es-ES_tradnl"/>
        </w:rPr>
        <w:t>clay</w:t>
      </w:r>
      <w:proofErr w:type="spellEnd"/>
      <w:r w:rsidRPr="00691F3A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691F3A">
        <w:rPr>
          <w:rFonts w:ascii="Times New Roman" w:hAnsi="Times New Roman"/>
          <w:sz w:val="22"/>
          <w:szCs w:val="22"/>
          <w:lang w:val="es-ES_tradnl"/>
        </w:rPr>
        <w:t>humic</w:t>
      </w:r>
      <w:proofErr w:type="spellEnd"/>
      <w:r w:rsidRPr="00691F3A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691F3A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691F3A">
        <w:rPr>
          <w:rFonts w:ascii="Times New Roman" w:hAnsi="Times New Roman"/>
          <w:sz w:val="22"/>
          <w:szCs w:val="22"/>
          <w:lang w:val="es-ES_tradnl"/>
        </w:rPr>
        <w:t>" escasos y finos; caras de fricción ("</w:t>
      </w:r>
      <w:proofErr w:type="spellStart"/>
      <w:r w:rsidRPr="00691F3A">
        <w:rPr>
          <w:rFonts w:ascii="Times New Roman" w:hAnsi="Times New Roman"/>
          <w:sz w:val="22"/>
          <w:szCs w:val="22"/>
          <w:lang w:val="es-ES_tradnl"/>
        </w:rPr>
        <w:t>slickensides</w:t>
      </w:r>
      <w:proofErr w:type="spellEnd"/>
      <w:r w:rsidRPr="00691F3A">
        <w:rPr>
          <w:rFonts w:ascii="Times New Roman" w:hAnsi="Times New Roman"/>
          <w:sz w:val="22"/>
          <w:szCs w:val="22"/>
          <w:lang w:val="es-ES_tradnl"/>
        </w:rPr>
        <w:t xml:space="preserve">") abundantes, finas e intersectadas; moteados de hierro y manganeso abundantes, medios y precisos; abundante cantidad de carbonatos libres en la masa; concreciones y rodados calcáreos de hasta 5 cm, abundantes, duras y </w:t>
      </w:r>
      <w:proofErr w:type="spellStart"/>
      <w:r w:rsidRPr="00691F3A">
        <w:rPr>
          <w:rFonts w:ascii="Times New Roman" w:hAnsi="Times New Roman"/>
          <w:sz w:val="22"/>
          <w:szCs w:val="22"/>
          <w:lang w:val="es-ES_tradnl"/>
        </w:rPr>
        <w:t>semi</w:t>
      </w:r>
      <w:proofErr w:type="spellEnd"/>
      <w:r w:rsidRPr="00691F3A">
        <w:rPr>
          <w:rFonts w:ascii="Times New Roman" w:hAnsi="Times New Roman"/>
          <w:sz w:val="22"/>
          <w:szCs w:val="22"/>
          <w:lang w:val="es-ES_tradnl"/>
        </w:rPr>
        <w:t>-duras; límite gradual, suave.</w:t>
      </w:r>
    </w:p>
    <w:p w:rsidR="00691F3A" w:rsidRPr="00691F3A" w:rsidRDefault="00691F3A" w:rsidP="00691F3A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691F3A" w:rsidRPr="00691F3A" w:rsidRDefault="00691F3A" w:rsidP="00691F3A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691F3A">
        <w:rPr>
          <w:rFonts w:ascii="Times New Roman" w:hAnsi="Times New Roman"/>
          <w:b/>
          <w:sz w:val="22"/>
          <w:szCs w:val="22"/>
          <w:lang w:val="es-ES_tradnl"/>
        </w:rPr>
        <w:t>(R)</w:t>
      </w:r>
      <w:r w:rsidRPr="00691F3A">
        <w:rPr>
          <w:rFonts w:ascii="Times New Roman" w:hAnsi="Times New Roman"/>
          <w:sz w:val="22"/>
          <w:szCs w:val="22"/>
          <w:lang w:val="es-ES_tradnl"/>
        </w:rPr>
        <w:t>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691F3A">
        <w:rPr>
          <w:rFonts w:ascii="Times New Roman" w:hAnsi="Times New Roman"/>
          <w:sz w:val="22"/>
          <w:szCs w:val="22"/>
          <w:lang w:val="es-ES_tradnl"/>
        </w:rPr>
        <w:t xml:space="preserve">70 cm+; banco de "tosca" calcárea, </w:t>
      </w:r>
      <w:proofErr w:type="spellStart"/>
      <w:r w:rsidRPr="00691F3A">
        <w:rPr>
          <w:rFonts w:ascii="Times New Roman" w:hAnsi="Times New Roman"/>
          <w:sz w:val="22"/>
          <w:szCs w:val="22"/>
          <w:lang w:val="es-ES_tradnl"/>
        </w:rPr>
        <w:t>semi</w:t>
      </w:r>
      <w:proofErr w:type="spellEnd"/>
      <w:r w:rsidRPr="00691F3A">
        <w:rPr>
          <w:rFonts w:ascii="Times New Roman" w:hAnsi="Times New Roman"/>
          <w:sz w:val="22"/>
          <w:szCs w:val="22"/>
          <w:lang w:val="es-ES_tradnl"/>
        </w:rPr>
        <w:t>-consolidado, gris pardo claro (10YR 6/2) en húmedo, de matriz franco-limosa y abundante cantidad de dendritas de manganeso.</w:t>
      </w:r>
    </w:p>
    <w:p w:rsidR="00691F3A" w:rsidRPr="00691F3A" w:rsidRDefault="00691F3A" w:rsidP="00691F3A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691F3A" w:rsidRPr="00691F3A" w:rsidRDefault="00691F3A" w:rsidP="00691F3A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691F3A">
        <w:rPr>
          <w:rFonts w:ascii="Times New Roman" w:hAnsi="Times New Roman"/>
          <w:b/>
          <w:sz w:val="22"/>
          <w:szCs w:val="22"/>
          <w:u w:val="single"/>
          <w:lang w:val="es-ES_tradnl"/>
        </w:rPr>
        <w:lastRenderedPageBreak/>
        <w:t>Variabilidad de rasgos</w:t>
      </w:r>
    </w:p>
    <w:p w:rsidR="00691F3A" w:rsidRPr="00691F3A" w:rsidRDefault="00691F3A" w:rsidP="00691F3A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691F3A" w:rsidRPr="00691F3A" w:rsidRDefault="00691F3A" w:rsidP="00691F3A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691F3A">
        <w:rPr>
          <w:rFonts w:ascii="Times New Roman" w:hAnsi="Times New Roman"/>
          <w:sz w:val="22"/>
          <w:szCs w:val="22"/>
          <w:lang w:val="es-ES_tradnl"/>
        </w:rPr>
        <w:t xml:space="preserve">El suelo tiene una profundidad efectiva de aproximadamente 70-80 cm hasta alcanzar el material calcáreo consolidado, aunque en algunos perfiles éste puede aparecer recién a los 30 cm. Esta amplia variabilidad  se manifiesta, a su vez, en el espesor del </w:t>
      </w:r>
      <w:proofErr w:type="spellStart"/>
      <w:r w:rsidRPr="00691F3A">
        <w:rPr>
          <w:rFonts w:ascii="Times New Roman" w:hAnsi="Times New Roman"/>
          <w:sz w:val="22"/>
          <w:szCs w:val="22"/>
          <w:lang w:val="es-ES_tradnl"/>
        </w:rPr>
        <w:t>epipedón</w:t>
      </w:r>
      <w:proofErr w:type="spellEnd"/>
      <w:r w:rsidRPr="00691F3A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691F3A">
        <w:rPr>
          <w:rFonts w:ascii="Times New Roman" w:hAnsi="Times New Roman"/>
          <w:sz w:val="22"/>
          <w:szCs w:val="22"/>
          <w:lang w:val="es-ES_tradnl"/>
        </w:rPr>
        <w:t>mólico</w:t>
      </w:r>
      <w:proofErr w:type="spellEnd"/>
      <w:r w:rsidRPr="00691F3A">
        <w:rPr>
          <w:rFonts w:ascii="Times New Roman" w:hAnsi="Times New Roman"/>
          <w:sz w:val="22"/>
          <w:szCs w:val="22"/>
          <w:lang w:val="es-ES_tradnl"/>
        </w:rPr>
        <w:t xml:space="preserve"> (entre 15-40 cm) que puede estar compuesto de un A1 o A11+A12. No es común un horizonte transicional B1. </w:t>
      </w:r>
    </w:p>
    <w:p w:rsidR="00691F3A" w:rsidRPr="00691F3A" w:rsidRDefault="00691F3A" w:rsidP="00691F3A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691F3A" w:rsidRPr="00691F3A" w:rsidRDefault="00691F3A" w:rsidP="00691F3A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691F3A">
        <w:rPr>
          <w:rFonts w:ascii="Times New Roman" w:hAnsi="Times New Roman"/>
          <w:sz w:val="22"/>
          <w:szCs w:val="22"/>
          <w:lang w:val="es-ES_tradnl"/>
        </w:rPr>
        <w:t xml:space="preserve">Al horizonte superficial le sigue un horizonte </w:t>
      </w:r>
      <w:proofErr w:type="spellStart"/>
      <w:r w:rsidRPr="00691F3A">
        <w:rPr>
          <w:rFonts w:ascii="Times New Roman" w:hAnsi="Times New Roman"/>
          <w:sz w:val="22"/>
          <w:szCs w:val="22"/>
          <w:lang w:val="es-ES_tradnl"/>
        </w:rPr>
        <w:t>argílico</w:t>
      </w:r>
      <w:proofErr w:type="spellEnd"/>
      <w:r w:rsidRPr="00691F3A">
        <w:rPr>
          <w:rFonts w:ascii="Times New Roman" w:hAnsi="Times New Roman"/>
          <w:sz w:val="22"/>
          <w:szCs w:val="22"/>
          <w:lang w:val="es-ES_tradnl"/>
        </w:rPr>
        <w:t xml:space="preserve"> somero (en todos los casos estudiados su espesor no supera los 40 cm), de estructura </w:t>
      </w:r>
      <w:proofErr w:type="spellStart"/>
      <w:r w:rsidRPr="00691F3A">
        <w:rPr>
          <w:rFonts w:ascii="Times New Roman" w:hAnsi="Times New Roman"/>
          <w:sz w:val="22"/>
          <w:szCs w:val="22"/>
          <w:lang w:val="es-ES_tradnl"/>
        </w:rPr>
        <w:t>bloquiforme</w:t>
      </w:r>
      <w:proofErr w:type="spellEnd"/>
      <w:r w:rsidRPr="00691F3A">
        <w:rPr>
          <w:rFonts w:ascii="Times New Roman" w:hAnsi="Times New Roman"/>
          <w:sz w:val="22"/>
          <w:szCs w:val="22"/>
          <w:lang w:val="es-ES_tradnl"/>
        </w:rPr>
        <w:t xml:space="preserve"> y un contenido de arcilla muy variable (27-48 %) y la particularidad de presentar una abundante acumulación de carbonatos, tanto en forma libre como en concreciones de hasta 5 cm y rodados calcáreos de diámetro muy variable.</w:t>
      </w:r>
    </w:p>
    <w:p w:rsidR="00691F3A" w:rsidRPr="00691F3A" w:rsidRDefault="00691F3A" w:rsidP="00691F3A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691F3A" w:rsidRPr="00691F3A" w:rsidRDefault="00691F3A" w:rsidP="00691F3A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691F3A">
        <w:rPr>
          <w:rFonts w:ascii="Times New Roman" w:hAnsi="Times New Roman"/>
          <w:sz w:val="22"/>
          <w:szCs w:val="22"/>
          <w:lang w:val="es-ES_tradnl"/>
        </w:rPr>
        <w:t xml:space="preserve">En algunas lomas y pendientes el proceso erosivo natural ha dejado expuesto el material calcáreo consolidado ("tosca") el cual, afectado por el agua de escorrentía, es </w:t>
      </w:r>
      <w:proofErr w:type="spellStart"/>
      <w:r w:rsidRPr="00691F3A">
        <w:rPr>
          <w:rFonts w:ascii="Times New Roman" w:hAnsi="Times New Roman"/>
          <w:sz w:val="22"/>
          <w:szCs w:val="22"/>
          <w:lang w:val="es-ES_tradnl"/>
        </w:rPr>
        <w:t>redisuelto</w:t>
      </w:r>
      <w:proofErr w:type="spellEnd"/>
      <w:r w:rsidRPr="00691F3A">
        <w:rPr>
          <w:rFonts w:ascii="Times New Roman" w:hAnsi="Times New Roman"/>
          <w:sz w:val="22"/>
          <w:szCs w:val="22"/>
          <w:lang w:val="es-ES_tradnl"/>
        </w:rPr>
        <w:t xml:space="preserve"> y transportado pendiente abajo (rodados calcáreos de arrastre). Este banco calcáreo aparece en el perfil a profundidades variables y, en muchos casos, aflora en superficie; la génesis de este material geológico (edad pliocena-pleistocena) parece estar asociada a la formación (elevación) de la </w:t>
      </w:r>
      <w:proofErr w:type="spellStart"/>
      <w:r w:rsidRPr="00691F3A">
        <w:rPr>
          <w:rFonts w:ascii="Times New Roman" w:hAnsi="Times New Roman"/>
          <w:sz w:val="22"/>
          <w:szCs w:val="22"/>
          <w:lang w:val="es-ES_tradnl"/>
        </w:rPr>
        <w:t>peniplanicie</w:t>
      </w:r>
      <w:proofErr w:type="spellEnd"/>
      <w:r w:rsidRPr="00691F3A">
        <w:rPr>
          <w:rFonts w:ascii="Times New Roman" w:hAnsi="Times New Roman"/>
          <w:sz w:val="22"/>
          <w:szCs w:val="22"/>
          <w:lang w:val="es-ES_tradnl"/>
        </w:rPr>
        <w:t xml:space="preserve"> entrerriana, manteniendo un nivel uniforme sobre el nivel del mar (aprox. 37 a 43 metros). Este estrato (consolidado unas veces, friable y </w:t>
      </w:r>
      <w:proofErr w:type="spellStart"/>
      <w:r w:rsidRPr="00691F3A">
        <w:rPr>
          <w:rFonts w:ascii="Times New Roman" w:hAnsi="Times New Roman"/>
          <w:sz w:val="22"/>
          <w:szCs w:val="22"/>
          <w:lang w:val="es-ES_tradnl"/>
        </w:rPr>
        <w:t>pulvurulento</w:t>
      </w:r>
      <w:proofErr w:type="spellEnd"/>
      <w:r w:rsidRPr="00691F3A">
        <w:rPr>
          <w:rFonts w:ascii="Times New Roman" w:hAnsi="Times New Roman"/>
          <w:sz w:val="22"/>
          <w:szCs w:val="22"/>
          <w:lang w:val="es-ES_tradnl"/>
        </w:rPr>
        <w:t xml:space="preserve"> otras) es de una textura muy variable entre franco-arenosa a arcillosa, fosilífero en su parte inferior -marina- y con aspecto </w:t>
      </w:r>
      <w:proofErr w:type="spellStart"/>
      <w:r w:rsidRPr="00691F3A">
        <w:rPr>
          <w:rFonts w:ascii="Times New Roman" w:hAnsi="Times New Roman"/>
          <w:sz w:val="22"/>
          <w:szCs w:val="22"/>
          <w:lang w:val="es-ES_tradnl"/>
        </w:rPr>
        <w:t>loessiforme</w:t>
      </w:r>
      <w:proofErr w:type="spellEnd"/>
      <w:r w:rsidRPr="00691F3A">
        <w:rPr>
          <w:rFonts w:ascii="Times New Roman" w:hAnsi="Times New Roman"/>
          <w:sz w:val="22"/>
          <w:szCs w:val="22"/>
          <w:lang w:val="es-ES_tradnl"/>
        </w:rPr>
        <w:t xml:space="preserve"> o </w:t>
      </w:r>
      <w:proofErr w:type="spellStart"/>
      <w:r w:rsidRPr="00691F3A">
        <w:rPr>
          <w:rFonts w:ascii="Times New Roman" w:hAnsi="Times New Roman"/>
          <w:sz w:val="22"/>
          <w:szCs w:val="22"/>
          <w:lang w:val="es-ES_tradnl"/>
        </w:rPr>
        <w:t>tobásico</w:t>
      </w:r>
      <w:proofErr w:type="spellEnd"/>
      <w:r w:rsidRPr="00691F3A">
        <w:rPr>
          <w:rFonts w:ascii="Times New Roman" w:hAnsi="Times New Roman"/>
          <w:sz w:val="22"/>
          <w:szCs w:val="22"/>
          <w:lang w:val="es-ES_tradnl"/>
        </w:rPr>
        <w:t xml:space="preserve"> en sus formaciones superiores. Este material ha sido interpretado por algunos autores como un antiguo horizonte </w:t>
      </w:r>
      <w:proofErr w:type="spellStart"/>
      <w:r w:rsidRPr="00691F3A">
        <w:rPr>
          <w:rFonts w:ascii="Times New Roman" w:hAnsi="Times New Roman"/>
          <w:sz w:val="22"/>
          <w:szCs w:val="22"/>
          <w:lang w:val="es-ES_tradnl"/>
        </w:rPr>
        <w:t>petrocálcico</w:t>
      </w:r>
      <w:proofErr w:type="spellEnd"/>
      <w:r w:rsidRPr="00691F3A">
        <w:rPr>
          <w:rFonts w:ascii="Times New Roman" w:hAnsi="Times New Roman"/>
          <w:sz w:val="22"/>
          <w:szCs w:val="22"/>
          <w:lang w:val="es-ES_tradnl"/>
        </w:rPr>
        <w:t xml:space="preserve"> que pertenecería a un antiguo perfil, truncado, sobre el cual el manto de loess se habría depositado. Ante la falta de otros elementos de juicio para confirmar su génesis, se ha preferido -a los fines del levantamiento de suelos- considerar a este material como de origen geológico, hasta tanto posteriores estudios evidencien lo contrario.</w:t>
      </w:r>
    </w:p>
    <w:p w:rsidR="00691F3A" w:rsidRPr="00691F3A" w:rsidRDefault="00691F3A" w:rsidP="00691F3A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691F3A" w:rsidRPr="00691F3A" w:rsidRDefault="00691F3A" w:rsidP="00691F3A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691F3A">
        <w:rPr>
          <w:rFonts w:ascii="Times New Roman" w:hAnsi="Times New Roman"/>
          <w:sz w:val="22"/>
          <w:szCs w:val="22"/>
          <w:lang w:val="es-ES_tradnl"/>
        </w:rPr>
        <w:t xml:space="preserve">Parte de los </w:t>
      </w:r>
      <w:proofErr w:type="spellStart"/>
      <w:r w:rsidRPr="00691F3A">
        <w:rPr>
          <w:rFonts w:ascii="Times New Roman" w:hAnsi="Times New Roman"/>
          <w:sz w:val="22"/>
          <w:szCs w:val="22"/>
          <w:lang w:val="es-ES_tradnl"/>
        </w:rPr>
        <w:t>pedones</w:t>
      </w:r>
      <w:proofErr w:type="spellEnd"/>
      <w:r w:rsidRPr="00691F3A">
        <w:rPr>
          <w:rFonts w:ascii="Times New Roman" w:hAnsi="Times New Roman"/>
          <w:sz w:val="22"/>
          <w:szCs w:val="22"/>
          <w:lang w:val="es-ES_tradnl"/>
        </w:rPr>
        <w:t xml:space="preserve"> que integran la serie posee un horizonte B2 de poco desarrollo y que no puede clasificarse como </w:t>
      </w:r>
      <w:proofErr w:type="spellStart"/>
      <w:r w:rsidRPr="00691F3A">
        <w:rPr>
          <w:rFonts w:ascii="Times New Roman" w:hAnsi="Times New Roman"/>
          <w:sz w:val="22"/>
          <w:szCs w:val="22"/>
          <w:lang w:val="es-ES_tradnl"/>
        </w:rPr>
        <w:t>argílico</w:t>
      </w:r>
      <w:proofErr w:type="spellEnd"/>
      <w:r w:rsidRPr="00691F3A">
        <w:rPr>
          <w:rFonts w:ascii="Times New Roman" w:hAnsi="Times New Roman"/>
          <w:sz w:val="22"/>
          <w:szCs w:val="22"/>
          <w:lang w:val="es-ES_tradnl"/>
        </w:rPr>
        <w:t xml:space="preserve"> e, inclusive, existen perfiles en donde el horizonte A1 descansa directamente sobre la "tosca". Los perfiles, en estos casos, deberían clasificarse como </w:t>
      </w:r>
      <w:proofErr w:type="spellStart"/>
      <w:r w:rsidRPr="00691F3A">
        <w:rPr>
          <w:rFonts w:ascii="Times New Roman" w:hAnsi="Times New Roman"/>
          <w:sz w:val="22"/>
          <w:szCs w:val="22"/>
          <w:u w:val="single"/>
          <w:lang w:val="es-ES_tradnl"/>
        </w:rPr>
        <w:t>Hapludoles</w:t>
      </w:r>
      <w:proofErr w:type="spellEnd"/>
      <w:r w:rsidRPr="00691F3A">
        <w:rPr>
          <w:rFonts w:ascii="Times New Roman" w:hAnsi="Times New Roman"/>
          <w:sz w:val="22"/>
          <w:szCs w:val="22"/>
          <w:u w:val="single"/>
          <w:lang w:val="es-ES_tradnl"/>
        </w:rPr>
        <w:t xml:space="preserve"> </w:t>
      </w:r>
      <w:proofErr w:type="spellStart"/>
      <w:r w:rsidRPr="00691F3A">
        <w:rPr>
          <w:rFonts w:ascii="Times New Roman" w:hAnsi="Times New Roman"/>
          <w:sz w:val="22"/>
          <w:szCs w:val="22"/>
          <w:u w:val="single"/>
          <w:lang w:val="es-ES_tradnl"/>
        </w:rPr>
        <w:t>rendólicos</w:t>
      </w:r>
      <w:proofErr w:type="spellEnd"/>
      <w:r w:rsidRPr="00691F3A">
        <w:rPr>
          <w:rFonts w:ascii="Times New Roman" w:hAnsi="Times New Roman"/>
          <w:sz w:val="22"/>
          <w:szCs w:val="22"/>
          <w:lang w:val="es-ES_tradnl"/>
        </w:rPr>
        <w:t xml:space="preserve">, pero -a los fines prácticos de uso y manejo (limitaciones)- esta diferenciación no </w:t>
      </w:r>
      <w:proofErr w:type="spellStart"/>
      <w:r w:rsidRPr="00691F3A">
        <w:rPr>
          <w:rFonts w:ascii="Times New Roman" w:hAnsi="Times New Roman"/>
          <w:sz w:val="22"/>
          <w:szCs w:val="22"/>
          <w:lang w:val="es-ES_tradnl"/>
        </w:rPr>
        <w:t>fué</w:t>
      </w:r>
      <w:proofErr w:type="spellEnd"/>
      <w:r w:rsidRPr="00691F3A">
        <w:rPr>
          <w:rFonts w:ascii="Times New Roman" w:hAnsi="Times New Roman"/>
          <w:sz w:val="22"/>
          <w:szCs w:val="22"/>
          <w:lang w:val="es-ES_tradnl"/>
        </w:rPr>
        <w:t xml:space="preserve"> considerada a nivel de otra serie, sino que se las prefirió </w:t>
      </w:r>
      <w:proofErr w:type="spellStart"/>
      <w:r w:rsidRPr="00691F3A">
        <w:rPr>
          <w:rFonts w:ascii="Times New Roman" w:hAnsi="Times New Roman"/>
          <w:sz w:val="22"/>
          <w:szCs w:val="22"/>
          <w:lang w:val="es-ES_tradnl"/>
        </w:rPr>
        <w:t>incluír</w:t>
      </w:r>
      <w:proofErr w:type="spellEnd"/>
      <w:r w:rsidRPr="00691F3A">
        <w:rPr>
          <w:rFonts w:ascii="Times New Roman" w:hAnsi="Times New Roman"/>
          <w:sz w:val="22"/>
          <w:szCs w:val="22"/>
          <w:lang w:val="es-ES_tradnl"/>
        </w:rPr>
        <w:t xml:space="preserve"> como "</w:t>
      </w:r>
      <w:proofErr w:type="spellStart"/>
      <w:r w:rsidRPr="00691F3A">
        <w:rPr>
          <w:rFonts w:ascii="Times New Roman" w:hAnsi="Times New Roman"/>
          <w:sz w:val="22"/>
          <w:szCs w:val="22"/>
          <w:lang w:val="es-ES_tradnl"/>
        </w:rPr>
        <w:t>taxa</w:t>
      </w:r>
      <w:proofErr w:type="spellEnd"/>
      <w:r w:rsidRPr="00691F3A">
        <w:rPr>
          <w:rFonts w:ascii="Times New Roman" w:hAnsi="Times New Roman"/>
          <w:sz w:val="22"/>
          <w:szCs w:val="22"/>
          <w:lang w:val="es-ES_tradnl"/>
        </w:rPr>
        <w:t xml:space="preserve"> adjunta" a la misma serie. Estos suelos, con </w:t>
      </w:r>
      <w:proofErr w:type="spellStart"/>
      <w:r w:rsidRPr="00691F3A">
        <w:rPr>
          <w:rFonts w:ascii="Times New Roman" w:hAnsi="Times New Roman"/>
          <w:sz w:val="22"/>
          <w:szCs w:val="22"/>
          <w:lang w:val="es-ES_tradnl"/>
        </w:rPr>
        <w:t>epipedones</w:t>
      </w:r>
      <w:proofErr w:type="spellEnd"/>
      <w:r w:rsidRPr="00691F3A">
        <w:rPr>
          <w:rFonts w:ascii="Times New Roman" w:hAnsi="Times New Roman"/>
          <w:sz w:val="22"/>
          <w:szCs w:val="22"/>
          <w:lang w:val="es-ES_tradnl"/>
        </w:rPr>
        <w:t xml:space="preserve"> de colores muy oscuros, fueron erróneamente clasificados por algunos autores, en el pasado, como </w:t>
      </w:r>
      <w:proofErr w:type="spellStart"/>
      <w:r w:rsidRPr="00691F3A">
        <w:rPr>
          <w:rFonts w:ascii="Times New Roman" w:hAnsi="Times New Roman"/>
          <w:sz w:val="22"/>
          <w:szCs w:val="22"/>
          <w:lang w:val="es-ES_tradnl"/>
        </w:rPr>
        <w:t>Rendzinas</w:t>
      </w:r>
      <w:proofErr w:type="spellEnd"/>
      <w:r w:rsidRPr="00691F3A">
        <w:rPr>
          <w:rFonts w:ascii="Times New Roman" w:hAnsi="Times New Roman"/>
          <w:sz w:val="22"/>
          <w:szCs w:val="22"/>
          <w:lang w:val="es-ES_tradnl"/>
        </w:rPr>
        <w:t xml:space="preserve">. Sin embargo, el estudio morfológico de sus perfiles revela que están desarrollados en loess o sedimentos </w:t>
      </w:r>
      <w:proofErr w:type="spellStart"/>
      <w:r w:rsidRPr="00691F3A">
        <w:rPr>
          <w:rFonts w:ascii="Times New Roman" w:hAnsi="Times New Roman"/>
          <w:sz w:val="22"/>
          <w:szCs w:val="22"/>
          <w:lang w:val="es-ES_tradnl"/>
        </w:rPr>
        <w:t>loesssoides</w:t>
      </w:r>
      <w:proofErr w:type="spellEnd"/>
      <w:r w:rsidRPr="00691F3A">
        <w:rPr>
          <w:rFonts w:ascii="Times New Roman" w:hAnsi="Times New Roman"/>
          <w:sz w:val="22"/>
          <w:szCs w:val="22"/>
          <w:lang w:val="es-ES_tradnl"/>
        </w:rPr>
        <w:t xml:space="preserve"> similares y no a partir de la meteorización del material calizo (</w:t>
      </w:r>
      <w:r w:rsidRPr="00691F3A">
        <w:rPr>
          <w:rFonts w:ascii="Times New Roman" w:hAnsi="Times New Roman"/>
          <w:i/>
          <w:iCs/>
          <w:sz w:val="22"/>
          <w:szCs w:val="22"/>
          <w:lang w:val="es-ES_tradnl"/>
        </w:rPr>
        <w:t xml:space="preserve">G.W. van </w:t>
      </w:r>
      <w:proofErr w:type="spellStart"/>
      <w:r w:rsidRPr="00691F3A">
        <w:rPr>
          <w:rFonts w:ascii="Times New Roman" w:hAnsi="Times New Roman"/>
          <w:i/>
          <w:iCs/>
          <w:sz w:val="22"/>
          <w:szCs w:val="22"/>
          <w:lang w:val="es-ES_tradnl"/>
        </w:rPr>
        <w:t>Barneveld</w:t>
      </w:r>
      <w:proofErr w:type="spellEnd"/>
      <w:r w:rsidRPr="00691F3A">
        <w:rPr>
          <w:rFonts w:ascii="Times New Roman" w:hAnsi="Times New Roman"/>
          <w:sz w:val="22"/>
          <w:szCs w:val="22"/>
          <w:lang w:val="es-ES_tradnl"/>
        </w:rPr>
        <w:t>, 1974).</w:t>
      </w:r>
    </w:p>
    <w:p w:rsidR="00691F3A" w:rsidRPr="00691F3A" w:rsidRDefault="00691F3A" w:rsidP="00691F3A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691F3A" w:rsidRPr="00691F3A" w:rsidRDefault="00691F3A" w:rsidP="00691F3A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691F3A" w:rsidRPr="00691F3A" w:rsidRDefault="00691F3A" w:rsidP="00691F3A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691F3A">
        <w:rPr>
          <w:rFonts w:ascii="Times New Roman" w:hAnsi="Times New Roman"/>
          <w:b/>
          <w:sz w:val="22"/>
          <w:szCs w:val="22"/>
          <w:u w:val="single"/>
          <w:lang w:val="es-ES_tradnl"/>
        </w:rPr>
        <w:t>Fases</w:t>
      </w:r>
    </w:p>
    <w:p w:rsidR="00691F3A" w:rsidRPr="00691F3A" w:rsidRDefault="00691F3A" w:rsidP="00691F3A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691F3A" w:rsidRPr="00691F3A" w:rsidRDefault="00691F3A" w:rsidP="00691F3A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691F3A">
        <w:rPr>
          <w:rFonts w:ascii="Times New Roman" w:hAnsi="Times New Roman"/>
          <w:sz w:val="22"/>
          <w:szCs w:val="22"/>
          <w:lang w:val="es-ES_tradnl"/>
        </w:rPr>
        <w:t>No se han distinguido fases a la escala de reconocimiento (1:100.000).</w:t>
      </w:r>
    </w:p>
    <w:p w:rsidR="00691F3A" w:rsidRPr="00691F3A" w:rsidRDefault="00691F3A" w:rsidP="00691F3A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691F3A" w:rsidRPr="00691F3A" w:rsidRDefault="00691F3A" w:rsidP="00691F3A">
      <w:pPr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691F3A" w:rsidRPr="00691F3A" w:rsidRDefault="00691F3A" w:rsidP="00691F3A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691F3A">
        <w:rPr>
          <w:rFonts w:ascii="Times New Roman" w:hAnsi="Times New Roman"/>
          <w:b/>
          <w:sz w:val="22"/>
          <w:szCs w:val="22"/>
          <w:u w:val="single"/>
          <w:lang w:val="es-ES_tradnl"/>
        </w:rPr>
        <w:t>Series similares y sus diferencias</w:t>
      </w:r>
    </w:p>
    <w:p w:rsidR="00691F3A" w:rsidRPr="00691F3A" w:rsidRDefault="00691F3A" w:rsidP="00691F3A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691F3A" w:rsidRPr="00691F3A" w:rsidRDefault="00691F3A" w:rsidP="00691F3A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691F3A">
        <w:rPr>
          <w:rFonts w:ascii="Times New Roman" w:hAnsi="Times New Roman"/>
          <w:sz w:val="22"/>
          <w:szCs w:val="22"/>
          <w:lang w:val="es-ES_tradnl"/>
        </w:rPr>
        <w:t xml:space="preserve">Se parece a la Serie Las Mercedes, pero esta pertenece al orden </w:t>
      </w:r>
      <w:proofErr w:type="spellStart"/>
      <w:r w:rsidRPr="00691F3A">
        <w:rPr>
          <w:rFonts w:ascii="Times New Roman" w:hAnsi="Times New Roman"/>
          <w:sz w:val="22"/>
          <w:szCs w:val="22"/>
          <w:lang w:val="es-ES_tradnl"/>
        </w:rPr>
        <w:t>Vertisol</w:t>
      </w:r>
      <w:proofErr w:type="spellEnd"/>
      <w:r w:rsidRPr="00691F3A">
        <w:rPr>
          <w:rFonts w:ascii="Times New Roman" w:hAnsi="Times New Roman"/>
          <w:sz w:val="22"/>
          <w:szCs w:val="22"/>
          <w:lang w:val="es-ES_tradnl"/>
        </w:rPr>
        <w:t xml:space="preserve"> y está desarrollada en un paisaje distinto, aunque el banco calcáreo subyacente a ambas es del mismo origen.</w:t>
      </w:r>
    </w:p>
    <w:p w:rsidR="00691F3A" w:rsidRPr="00691F3A" w:rsidRDefault="00691F3A" w:rsidP="00691F3A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691F3A" w:rsidRPr="00691F3A" w:rsidRDefault="00691F3A" w:rsidP="00691F3A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691F3A" w:rsidRPr="00691F3A" w:rsidRDefault="00691F3A" w:rsidP="00691F3A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691F3A">
        <w:rPr>
          <w:rFonts w:ascii="Times New Roman" w:hAnsi="Times New Roman"/>
          <w:b/>
          <w:sz w:val="22"/>
          <w:szCs w:val="22"/>
          <w:u w:val="single"/>
          <w:lang w:val="es-ES_tradnl"/>
        </w:rPr>
        <w:t>Drenaje</w:t>
      </w:r>
    </w:p>
    <w:p w:rsidR="00691F3A" w:rsidRPr="00691F3A" w:rsidRDefault="00691F3A" w:rsidP="00691F3A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691F3A" w:rsidRPr="00691F3A" w:rsidRDefault="00691F3A" w:rsidP="00691F3A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691F3A">
        <w:rPr>
          <w:rFonts w:ascii="Times New Roman" w:hAnsi="Times New Roman"/>
          <w:sz w:val="22"/>
          <w:szCs w:val="22"/>
          <w:lang w:val="es-ES_tradnl"/>
        </w:rPr>
        <w:t xml:space="preserve">Bien a moderadamente bien drenado; escurrimiento superficial rápido. Permeabilidad </w:t>
      </w:r>
      <w:r w:rsidRPr="00691F3A">
        <w:rPr>
          <w:rFonts w:ascii="Times New Roman" w:hAnsi="Times New Roman"/>
          <w:sz w:val="22"/>
          <w:szCs w:val="22"/>
          <w:lang w:val="es-ES_tradnl"/>
        </w:rPr>
        <w:lastRenderedPageBreak/>
        <w:t>moderadamente lenta. Napa freática profunda. Grupo hidrológico C.</w:t>
      </w:r>
    </w:p>
    <w:p w:rsidR="00691F3A" w:rsidRPr="00691F3A" w:rsidRDefault="00691F3A" w:rsidP="00691F3A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691F3A" w:rsidRPr="00691F3A" w:rsidRDefault="00691F3A" w:rsidP="00691F3A">
      <w:pPr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691F3A" w:rsidRPr="00691F3A" w:rsidRDefault="00691F3A" w:rsidP="00691F3A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691F3A">
        <w:rPr>
          <w:rFonts w:ascii="Times New Roman" w:hAnsi="Times New Roman"/>
          <w:b/>
          <w:sz w:val="22"/>
          <w:szCs w:val="22"/>
          <w:u w:val="single"/>
          <w:lang w:val="es-ES_tradnl"/>
        </w:rPr>
        <w:t>Erosión</w:t>
      </w:r>
    </w:p>
    <w:p w:rsidR="00691F3A" w:rsidRPr="00691F3A" w:rsidRDefault="00691F3A" w:rsidP="00691F3A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691F3A" w:rsidRPr="00691F3A" w:rsidRDefault="00691F3A" w:rsidP="00691F3A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691F3A">
        <w:rPr>
          <w:rFonts w:ascii="Times New Roman" w:hAnsi="Times New Roman"/>
          <w:sz w:val="22"/>
          <w:szCs w:val="22"/>
          <w:lang w:val="es-ES_tradnl"/>
        </w:rPr>
        <w:t>La Serie La Juanita tiene un grado de erosión hídrica actual muy variable a corta distancia, dependiendo de: la pendiente, la presencia o ausencia del horizonte B2 y la profundidad a la que aparece la tosca. En parte, la estabilidad del paisaje frente a la erosión (tanto natural como acelerada) está determinada por el control estructural que ejerce el banco calcáreo consolidado. Aún en pendientes de hasta 12 % se ha podido observar una relativa estabilidad del perfil.</w:t>
      </w:r>
    </w:p>
    <w:p w:rsidR="00691F3A" w:rsidRPr="00691F3A" w:rsidRDefault="00691F3A" w:rsidP="00691F3A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691F3A" w:rsidRPr="00691F3A" w:rsidRDefault="00691F3A" w:rsidP="00691F3A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691F3A">
        <w:rPr>
          <w:rFonts w:ascii="Times New Roman" w:hAnsi="Times New Roman"/>
          <w:sz w:val="22"/>
          <w:szCs w:val="22"/>
          <w:lang w:val="es-ES_tradnl"/>
        </w:rPr>
        <w:t>Las pendientes normalmente cortas, la presencia de calcáreo en todo el perfil y el B2 normalmente poco desarrollado, contribuyen a una baja potencialidad erosiva.</w:t>
      </w:r>
    </w:p>
    <w:p w:rsidR="00691F3A" w:rsidRPr="00691F3A" w:rsidRDefault="00691F3A" w:rsidP="00691F3A">
      <w:pPr>
        <w:jc w:val="both"/>
        <w:rPr>
          <w:rFonts w:ascii="Times New Roman" w:hAnsi="Times New Roman"/>
          <w:sz w:val="22"/>
          <w:szCs w:val="22"/>
          <w:lang w:val="es-ES_tradnl"/>
        </w:rPr>
        <w:sectPr w:rsidR="00691F3A" w:rsidRPr="00691F3A" w:rsidSect="00691F3A">
          <w:endnotePr>
            <w:numFmt w:val="decimal"/>
          </w:endnotePr>
          <w:type w:val="continuous"/>
          <w:pgSz w:w="12242" w:h="15842" w:code="1"/>
          <w:pgMar w:top="1418" w:right="1701" w:bottom="1418" w:left="1701" w:header="1134" w:footer="1701" w:gutter="0"/>
          <w:cols w:space="720"/>
          <w:noEndnote/>
          <w:titlePg/>
        </w:sectPr>
      </w:pPr>
    </w:p>
    <w:p w:rsidR="00691F3A" w:rsidRPr="00691F3A" w:rsidRDefault="00691F3A" w:rsidP="00691F3A">
      <w:pPr>
        <w:rPr>
          <w:rFonts w:ascii="Times New Roman" w:hAnsi="Times New Roman"/>
          <w:b/>
          <w:sz w:val="22"/>
          <w:szCs w:val="22"/>
          <w:lang w:val="es-ES_tradnl"/>
        </w:rPr>
      </w:pPr>
      <w:r w:rsidRPr="00691F3A">
        <w:rPr>
          <w:rFonts w:ascii="Times New Roman" w:hAnsi="Times New Roman"/>
          <w:b/>
          <w:sz w:val="22"/>
          <w:szCs w:val="22"/>
          <w:u w:val="single"/>
          <w:lang w:val="es-ES_tradnl"/>
        </w:rPr>
        <w:lastRenderedPageBreak/>
        <w:t>DATOS ANALITICOS DEL PERFIL TIPICO</w:t>
      </w:r>
    </w:p>
    <w:p w:rsidR="00691F3A" w:rsidRPr="00691F3A" w:rsidRDefault="00691F3A" w:rsidP="00691F3A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</w:p>
    <w:p w:rsidR="00691F3A" w:rsidRPr="00691F3A" w:rsidRDefault="00691F3A" w:rsidP="00691F3A">
      <w:pPr>
        <w:jc w:val="both"/>
        <w:rPr>
          <w:rFonts w:ascii="Times New Roman" w:hAnsi="Times New Roman"/>
          <w:b/>
          <w:sz w:val="22"/>
          <w:szCs w:val="22"/>
          <w:u w:val="single"/>
          <w:lang w:val="es-ES_tradnl"/>
        </w:rPr>
      </w:pPr>
      <w:r w:rsidRPr="00691F3A">
        <w:rPr>
          <w:rFonts w:ascii="Times New Roman" w:hAnsi="Times New Roman"/>
          <w:b/>
          <w:sz w:val="22"/>
          <w:szCs w:val="22"/>
          <w:u w:val="single"/>
          <w:lang w:val="es-ES_tradnl"/>
        </w:rPr>
        <w:t>Serie La Juanita</w:t>
      </w:r>
    </w:p>
    <w:p w:rsidR="00691F3A" w:rsidRPr="00691F3A" w:rsidRDefault="00691F3A" w:rsidP="00691F3A">
      <w:pPr>
        <w:jc w:val="both"/>
        <w:rPr>
          <w:rFonts w:ascii="Times New Roman" w:hAnsi="Times New Roman"/>
          <w:b/>
          <w:sz w:val="22"/>
          <w:szCs w:val="22"/>
          <w:u w:val="single"/>
          <w:lang w:val="es-ES_tradnl"/>
        </w:rPr>
      </w:pPr>
    </w:p>
    <w:tbl>
      <w:tblPr>
        <w:tblW w:w="76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6"/>
        <w:gridCol w:w="827"/>
        <w:gridCol w:w="827"/>
        <w:gridCol w:w="1032"/>
        <w:gridCol w:w="1033"/>
        <w:gridCol w:w="1033"/>
        <w:gridCol w:w="1032"/>
        <w:gridCol w:w="1033"/>
      </w:tblGrid>
      <w:tr w:rsidR="00691F3A" w:rsidRPr="00691F3A" w:rsidTr="005C46AB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91F3A">
              <w:rPr>
                <w:rFonts w:ascii="Times New Roman" w:hAnsi="Times New Roman"/>
                <w:sz w:val="22"/>
                <w:szCs w:val="22"/>
                <w:lang w:val="es-ES_tradnl"/>
              </w:rPr>
              <w:t>ER7-84C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</w:tr>
      <w:tr w:rsidR="00691F3A" w:rsidRPr="00691F3A" w:rsidTr="005C46AB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91F3A">
              <w:rPr>
                <w:rFonts w:ascii="Times New Roman" w:hAnsi="Times New Roman"/>
                <w:sz w:val="22"/>
                <w:szCs w:val="22"/>
                <w:lang w:val="es-ES_tradnl"/>
              </w:rPr>
              <w:t>Nº de registro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91F3A">
              <w:rPr>
                <w:rFonts w:ascii="Times New Roman" w:hAnsi="Times New Roman"/>
                <w:sz w:val="22"/>
                <w:szCs w:val="22"/>
                <w:lang w:val="es-ES_tradnl"/>
              </w:rPr>
              <w:t>5.300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91F3A">
              <w:rPr>
                <w:rFonts w:ascii="Times New Roman" w:hAnsi="Times New Roman"/>
                <w:sz w:val="22"/>
                <w:szCs w:val="22"/>
                <w:lang w:val="es-ES_tradnl"/>
              </w:rPr>
              <w:t>5.301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91F3A">
              <w:rPr>
                <w:rFonts w:ascii="Times New Roman" w:hAnsi="Times New Roman"/>
                <w:sz w:val="22"/>
                <w:szCs w:val="22"/>
                <w:lang w:val="es-ES_tradnl"/>
              </w:rPr>
              <w:t>5.302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91F3A">
              <w:rPr>
                <w:rFonts w:ascii="Times New Roman" w:hAnsi="Times New Roman"/>
                <w:sz w:val="22"/>
                <w:szCs w:val="22"/>
                <w:lang w:val="es-ES_tradnl"/>
              </w:rPr>
              <w:t>5.303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91F3A">
              <w:rPr>
                <w:rFonts w:ascii="Times New Roman" w:hAnsi="Times New Roman"/>
                <w:sz w:val="22"/>
                <w:szCs w:val="22"/>
                <w:lang w:val="es-ES_tradnl"/>
              </w:rPr>
              <w:t>5.304</w:t>
            </w:r>
          </w:p>
        </w:tc>
      </w:tr>
      <w:tr w:rsidR="00691F3A" w:rsidRPr="00691F3A" w:rsidTr="005C46AB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91F3A">
              <w:rPr>
                <w:rFonts w:ascii="Times New Roman" w:hAnsi="Times New Roman"/>
                <w:sz w:val="22"/>
                <w:szCs w:val="22"/>
                <w:lang w:val="es-ES_tradnl"/>
              </w:rPr>
              <w:t>Horizonte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proofErr w:type="spellStart"/>
            <w:r w:rsidRPr="00691F3A">
              <w:rPr>
                <w:rFonts w:ascii="Times New Roman" w:hAnsi="Times New Roman"/>
                <w:sz w:val="22"/>
                <w:szCs w:val="22"/>
                <w:lang w:val="es-ES_tradnl"/>
              </w:rPr>
              <w:t>Ap</w:t>
            </w:r>
            <w:proofErr w:type="spellEnd"/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91F3A">
              <w:rPr>
                <w:rFonts w:ascii="Times New Roman" w:hAnsi="Times New Roman"/>
                <w:sz w:val="22"/>
                <w:szCs w:val="22"/>
                <w:lang w:val="es-ES_tradnl"/>
              </w:rPr>
              <w:t>B21t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91F3A">
              <w:rPr>
                <w:rFonts w:ascii="Times New Roman" w:hAnsi="Times New Roman"/>
                <w:sz w:val="22"/>
                <w:szCs w:val="22"/>
              </w:rPr>
              <w:t>B22tca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91F3A">
              <w:rPr>
                <w:rFonts w:ascii="Times New Roman" w:hAnsi="Times New Roman"/>
                <w:sz w:val="22"/>
                <w:szCs w:val="22"/>
              </w:rPr>
              <w:t>B3ca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91F3A">
              <w:rPr>
                <w:rFonts w:ascii="Times New Roman" w:hAnsi="Times New Roman"/>
                <w:sz w:val="22"/>
                <w:szCs w:val="22"/>
              </w:rPr>
              <w:t>CR</w:t>
            </w:r>
          </w:p>
        </w:tc>
      </w:tr>
      <w:tr w:rsidR="00691F3A" w:rsidRPr="00691F3A" w:rsidTr="005C46AB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91F3A">
              <w:rPr>
                <w:rFonts w:ascii="Times New Roman" w:hAnsi="Times New Roman"/>
                <w:sz w:val="22"/>
                <w:szCs w:val="22"/>
                <w:lang w:val="es-ES_tradnl"/>
              </w:rPr>
              <w:t>Profundidad (cm)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91F3A">
              <w:rPr>
                <w:rFonts w:ascii="Times New Roman" w:hAnsi="Times New Roman"/>
                <w:sz w:val="22"/>
                <w:szCs w:val="22"/>
                <w:lang w:val="es-ES_tradnl"/>
              </w:rPr>
              <w:t>05-15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91F3A">
              <w:rPr>
                <w:rFonts w:ascii="Times New Roman" w:hAnsi="Times New Roman"/>
                <w:sz w:val="22"/>
                <w:szCs w:val="22"/>
                <w:lang w:val="es-ES_tradnl"/>
              </w:rPr>
              <w:t>22-32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91F3A">
              <w:rPr>
                <w:rFonts w:ascii="Times New Roman" w:hAnsi="Times New Roman"/>
                <w:sz w:val="22"/>
                <w:szCs w:val="22"/>
                <w:lang w:val="es-ES_tradnl"/>
              </w:rPr>
              <w:t>40-50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91F3A">
              <w:rPr>
                <w:rFonts w:ascii="Times New Roman" w:hAnsi="Times New Roman"/>
                <w:sz w:val="22"/>
                <w:szCs w:val="22"/>
                <w:lang w:val="es-ES_tradnl"/>
              </w:rPr>
              <w:t>55-65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91F3A">
              <w:rPr>
                <w:rFonts w:ascii="Times New Roman" w:hAnsi="Times New Roman"/>
                <w:sz w:val="22"/>
                <w:szCs w:val="22"/>
                <w:lang w:val="es-ES_tradnl"/>
              </w:rPr>
              <w:t>75-85</w:t>
            </w:r>
          </w:p>
        </w:tc>
      </w:tr>
      <w:tr w:rsidR="00691F3A" w:rsidRPr="00691F3A" w:rsidTr="005C46AB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91F3A">
              <w:rPr>
                <w:rFonts w:ascii="Times New Roman" w:hAnsi="Times New Roman"/>
                <w:sz w:val="22"/>
                <w:szCs w:val="22"/>
                <w:lang w:val="es-ES_tradnl"/>
              </w:rPr>
              <w:t>Materia orgánica (%)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91F3A">
              <w:rPr>
                <w:rFonts w:ascii="Times New Roman" w:hAnsi="Times New Roman"/>
                <w:sz w:val="22"/>
                <w:szCs w:val="22"/>
                <w:lang w:val="es-ES_tradnl"/>
              </w:rPr>
              <w:t>5.18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91F3A">
              <w:rPr>
                <w:rFonts w:ascii="Times New Roman" w:hAnsi="Times New Roman"/>
                <w:sz w:val="22"/>
                <w:szCs w:val="22"/>
                <w:lang w:val="es-ES_tradnl"/>
              </w:rPr>
              <w:t>4.00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91F3A">
              <w:rPr>
                <w:rFonts w:ascii="Times New Roman" w:hAnsi="Times New Roman"/>
                <w:sz w:val="22"/>
                <w:szCs w:val="22"/>
                <w:lang w:val="es-ES_tradnl"/>
              </w:rPr>
              <w:t>2.53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91F3A">
              <w:rPr>
                <w:rFonts w:ascii="Times New Roman" w:hAnsi="Times New Roman"/>
                <w:sz w:val="22"/>
                <w:szCs w:val="22"/>
                <w:lang w:val="es-ES_tradnl"/>
              </w:rPr>
              <w:t>1.64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91F3A">
              <w:rPr>
                <w:rFonts w:ascii="Times New Roman" w:hAnsi="Times New Roman"/>
                <w:sz w:val="22"/>
                <w:szCs w:val="22"/>
                <w:lang w:val="es-ES_tradnl"/>
              </w:rPr>
              <w:t>0.46</w:t>
            </w:r>
          </w:p>
        </w:tc>
      </w:tr>
      <w:tr w:rsidR="00691F3A" w:rsidRPr="00691F3A" w:rsidTr="005C46AB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91F3A">
              <w:rPr>
                <w:rFonts w:ascii="Times New Roman" w:hAnsi="Times New Roman"/>
                <w:sz w:val="22"/>
                <w:szCs w:val="22"/>
                <w:lang w:val="es-ES_tradnl"/>
              </w:rPr>
              <w:t>N (%)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91F3A">
              <w:rPr>
                <w:rFonts w:ascii="Times New Roman" w:hAnsi="Times New Roman"/>
                <w:sz w:val="22"/>
                <w:szCs w:val="22"/>
                <w:lang w:val="es-ES_tradnl"/>
              </w:rPr>
              <w:t>0.20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91F3A">
              <w:rPr>
                <w:rFonts w:ascii="Times New Roman" w:hAnsi="Times New Roman"/>
                <w:sz w:val="22"/>
                <w:szCs w:val="22"/>
                <w:lang w:val="es-ES_tradnl"/>
              </w:rPr>
              <w:t>0.20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91F3A">
              <w:rPr>
                <w:rFonts w:ascii="Times New Roman" w:hAnsi="Times New Roman"/>
                <w:sz w:val="22"/>
                <w:szCs w:val="22"/>
                <w:lang w:val="es-ES_tradnl"/>
              </w:rPr>
              <w:t>0.13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91F3A">
              <w:rPr>
                <w:rFonts w:ascii="Times New Roman" w:hAnsi="Times New Roman"/>
                <w:sz w:val="22"/>
                <w:szCs w:val="22"/>
                <w:lang w:val="es-ES_tradnl"/>
              </w:rPr>
              <w:t>0.08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91F3A">
              <w:rPr>
                <w:rFonts w:ascii="Times New Roman" w:hAnsi="Times New Roman"/>
                <w:sz w:val="22"/>
                <w:szCs w:val="22"/>
                <w:lang w:val="es-ES_tradnl"/>
              </w:rPr>
              <w:t>0.04</w:t>
            </w:r>
          </w:p>
        </w:tc>
      </w:tr>
      <w:tr w:rsidR="00691F3A" w:rsidRPr="00691F3A" w:rsidTr="005C46AB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691F3A">
              <w:rPr>
                <w:rFonts w:ascii="Times New Roman" w:hAnsi="Times New Roman"/>
                <w:sz w:val="22"/>
                <w:szCs w:val="22"/>
              </w:rPr>
              <w:t>C/N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91F3A">
              <w:rPr>
                <w:rFonts w:ascii="Times New Roman" w:hAnsi="Times New Roman"/>
                <w:sz w:val="22"/>
                <w:szCs w:val="22"/>
              </w:rPr>
              <w:t>15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91F3A"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91F3A"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91F3A"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91F3A"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</w:tr>
      <w:tr w:rsidR="00691F3A" w:rsidRPr="00691F3A" w:rsidTr="005C46AB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  <w:p w:rsidR="00691F3A" w:rsidRPr="00691F3A" w:rsidRDefault="00691F3A" w:rsidP="00691F3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691F3A">
              <w:rPr>
                <w:rFonts w:ascii="Times New Roman" w:hAnsi="Times New Roman"/>
                <w:sz w:val="22"/>
                <w:szCs w:val="22"/>
              </w:rPr>
              <w:t xml:space="preserve">T         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 </w:t>
            </w:r>
            <w:r w:rsidRPr="00691F3A">
              <w:rPr>
                <w:rFonts w:ascii="Times New Roman" w:hAnsi="Times New Roman"/>
                <w:sz w:val="22"/>
                <w:szCs w:val="22"/>
              </w:rPr>
              <w:t xml:space="preserve">    &lt; 2 µ</w:t>
            </w:r>
          </w:p>
        </w:tc>
        <w:tc>
          <w:tcPr>
            <w:tcW w:w="103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91F3A">
              <w:rPr>
                <w:rFonts w:ascii="Times New Roman" w:hAnsi="Times New Roman"/>
                <w:sz w:val="22"/>
                <w:szCs w:val="22"/>
                <w:lang w:val="es-ES_tradnl"/>
              </w:rPr>
              <w:t>38.62</w:t>
            </w:r>
          </w:p>
        </w:tc>
        <w:tc>
          <w:tcPr>
            <w:tcW w:w="103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91F3A">
              <w:rPr>
                <w:rFonts w:ascii="Times New Roman" w:hAnsi="Times New Roman"/>
                <w:sz w:val="22"/>
                <w:szCs w:val="22"/>
                <w:lang w:val="es-ES_tradnl"/>
              </w:rPr>
              <w:t>48.38</w:t>
            </w:r>
          </w:p>
        </w:tc>
        <w:tc>
          <w:tcPr>
            <w:tcW w:w="103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91F3A">
              <w:rPr>
                <w:rFonts w:ascii="Times New Roman" w:hAnsi="Times New Roman"/>
                <w:sz w:val="22"/>
                <w:szCs w:val="22"/>
                <w:lang w:val="es-ES_tradnl"/>
              </w:rPr>
              <w:t>46.68</w:t>
            </w:r>
          </w:p>
        </w:tc>
        <w:tc>
          <w:tcPr>
            <w:tcW w:w="103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91F3A">
              <w:rPr>
                <w:rFonts w:ascii="Times New Roman" w:hAnsi="Times New Roman"/>
                <w:sz w:val="22"/>
                <w:szCs w:val="22"/>
                <w:lang w:val="es-ES_tradnl"/>
              </w:rPr>
              <w:t>37.24</w:t>
            </w:r>
          </w:p>
        </w:tc>
        <w:tc>
          <w:tcPr>
            <w:tcW w:w="103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91F3A">
              <w:rPr>
                <w:rFonts w:ascii="Times New Roman" w:hAnsi="Times New Roman"/>
                <w:sz w:val="22"/>
                <w:szCs w:val="22"/>
                <w:lang w:val="es-ES_tradnl"/>
              </w:rPr>
              <w:t>26.22</w:t>
            </w:r>
          </w:p>
        </w:tc>
      </w:tr>
      <w:tr w:rsidR="00691F3A" w:rsidRPr="00691F3A" w:rsidTr="005C46AB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91F3A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E      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 </w:t>
            </w:r>
            <w:r w:rsidRPr="00691F3A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  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 </w:t>
            </w:r>
            <w:r w:rsidRPr="00691F3A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2-20 </w:t>
            </w:r>
            <w:r w:rsidRPr="00691F3A">
              <w:rPr>
                <w:rFonts w:ascii="Times New Roman" w:hAnsi="Times New Roman"/>
                <w:sz w:val="22"/>
                <w:szCs w:val="22"/>
              </w:rPr>
              <w:t>µ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91F3A">
              <w:rPr>
                <w:rFonts w:ascii="Times New Roman" w:hAnsi="Times New Roman"/>
                <w:sz w:val="22"/>
                <w:szCs w:val="22"/>
                <w:lang w:val="es-ES_tradnl"/>
              </w:rPr>
              <w:t>18.61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91F3A">
              <w:rPr>
                <w:rFonts w:ascii="Times New Roman" w:hAnsi="Times New Roman"/>
                <w:sz w:val="22"/>
                <w:szCs w:val="22"/>
                <w:lang w:val="es-ES_tradnl"/>
              </w:rPr>
              <w:t>16.17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91F3A">
              <w:rPr>
                <w:rFonts w:ascii="Times New Roman" w:hAnsi="Times New Roman"/>
                <w:sz w:val="22"/>
                <w:szCs w:val="22"/>
                <w:lang w:val="es-ES_tradnl"/>
              </w:rPr>
              <w:t>14.15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91F3A">
              <w:rPr>
                <w:rFonts w:ascii="Times New Roman" w:hAnsi="Times New Roman"/>
                <w:sz w:val="22"/>
                <w:szCs w:val="22"/>
                <w:lang w:val="es-ES_tradnl"/>
              </w:rPr>
              <w:t>13.03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91F3A">
              <w:rPr>
                <w:rFonts w:ascii="Times New Roman" w:hAnsi="Times New Roman"/>
                <w:sz w:val="22"/>
                <w:szCs w:val="22"/>
                <w:lang w:val="es-ES_tradnl"/>
              </w:rPr>
              <w:t>23.01</w:t>
            </w:r>
          </w:p>
        </w:tc>
      </w:tr>
      <w:tr w:rsidR="00691F3A" w:rsidRPr="00691F3A" w:rsidTr="005C46AB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91F3A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X       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    </w:t>
            </w:r>
            <w:r w:rsidRPr="00691F3A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2-50 </w:t>
            </w:r>
            <w:r w:rsidRPr="00691F3A">
              <w:rPr>
                <w:rFonts w:ascii="Times New Roman" w:hAnsi="Times New Roman"/>
                <w:sz w:val="22"/>
                <w:szCs w:val="22"/>
              </w:rPr>
              <w:t>µ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91F3A">
              <w:rPr>
                <w:rFonts w:ascii="Times New Roman" w:hAnsi="Times New Roman"/>
                <w:sz w:val="22"/>
                <w:szCs w:val="22"/>
                <w:lang w:val="es-ES_tradnl"/>
              </w:rPr>
              <w:t>47.95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91F3A">
              <w:rPr>
                <w:rFonts w:ascii="Times New Roman" w:hAnsi="Times New Roman"/>
                <w:sz w:val="22"/>
                <w:szCs w:val="22"/>
                <w:lang w:val="es-ES_tradnl"/>
              </w:rPr>
              <w:t>41.47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91F3A">
              <w:rPr>
                <w:rFonts w:ascii="Times New Roman" w:hAnsi="Times New Roman"/>
                <w:sz w:val="22"/>
                <w:szCs w:val="22"/>
                <w:lang w:val="es-ES_tradnl"/>
              </w:rPr>
              <w:t>46.33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91F3A">
              <w:rPr>
                <w:rFonts w:ascii="Times New Roman" w:hAnsi="Times New Roman"/>
                <w:sz w:val="22"/>
                <w:szCs w:val="22"/>
                <w:lang w:val="es-ES_tradnl"/>
              </w:rPr>
              <w:t>55.55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91F3A">
              <w:rPr>
                <w:rFonts w:ascii="Times New Roman" w:hAnsi="Times New Roman"/>
                <w:sz w:val="22"/>
                <w:szCs w:val="22"/>
                <w:lang w:val="es-ES_tradnl"/>
              </w:rPr>
              <w:t>55.59</w:t>
            </w:r>
          </w:p>
        </w:tc>
      </w:tr>
      <w:tr w:rsidR="00691F3A" w:rsidRPr="00691F3A" w:rsidTr="005C46AB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91F3A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T      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  </w:t>
            </w:r>
            <w:r w:rsidRPr="00691F3A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50-100 </w:t>
            </w:r>
            <w:r w:rsidRPr="00691F3A">
              <w:rPr>
                <w:rFonts w:ascii="Times New Roman" w:hAnsi="Times New Roman"/>
                <w:sz w:val="22"/>
                <w:szCs w:val="22"/>
              </w:rPr>
              <w:t>µ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91F3A">
              <w:rPr>
                <w:rFonts w:ascii="Times New Roman" w:hAnsi="Times New Roman"/>
                <w:sz w:val="22"/>
                <w:szCs w:val="22"/>
                <w:lang w:val="es-ES_tradnl"/>
              </w:rPr>
              <w:t>6.68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91F3A">
              <w:rPr>
                <w:rFonts w:ascii="Times New Roman" w:hAnsi="Times New Roman"/>
                <w:sz w:val="22"/>
                <w:szCs w:val="22"/>
                <w:lang w:val="es-ES_tradnl"/>
              </w:rPr>
              <w:t>4.61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91F3A">
              <w:rPr>
                <w:rFonts w:ascii="Times New Roman" w:hAnsi="Times New Roman"/>
                <w:sz w:val="22"/>
                <w:szCs w:val="22"/>
                <w:lang w:val="es-ES_tradnl"/>
              </w:rPr>
              <w:t>2.82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91F3A">
              <w:rPr>
                <w:rFonts w:ascii="Times New Roman" w:hAnsi="Times New Roman"/>
                <w:sz w:val="22"/>
                <w:szCs w:val="22"/>
                <w:lang w:val="es-ES_tradnl"/>
              </w:rPr>
              <w:t>2.88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91F3A">
              <w:rPr>
                <w:rFonts w:ascii="Times New Roman" w:hAnsi="Times New Roman"/>
                <w:sz w:val="22"/>
                <w:szCs w:val="22"/>
                <w:lang w:val="es-ES_tradnl"/>
              </w:rPr>
              <w:t>9.10</w:t>
            </w:r>
          </w:p>
        </w:tc>
      </w:tr>
      <w:tr w:rsidR="00691F3A" w:rsidRPr="00691F3A" w:rsidTr="005C46AB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91F3A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U    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  </w:t>
            </w:r>
            <w:r w:rsidRPr="00691F3A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100-250 </w:t>
            </w:r>
            <w:r w:rsidRPr="00691F3A">
              <w:rPr>
                <w:rFonts w:ascii="Times New Roman" w:hAnsi="Times New Roman"/>
                <w:sz w:val="22"/>
                <w:szCs w:val="22"/>
              </w:rPr>
              <w:t>µ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91F3A">
              <w:rPr>
                <w:rFonts w:ascii="Times New Roman" w:hAnsi="Times New Roman"/>
                <w:sz w:val="22"/>
                <w:szCs w:val="22"/>
                <w:lang w:val="es-ES_tradnl"/>
              </w:rPr>
              <w:t>6.39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91F3A">
              <w:rPr>
                <w:rFonts w:ascii="Times New Roman" w:hAnsi="Times New Roman"/>
                <w:sz w:val="22"/>
                <w:szCs w:val="22"/>
                <w:lang w:val="es-ES_tradnl"/>
              </w:rPr>
              <w:t>5.09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91F3A">
              <w:rPr>
                <w:rFonts w:ascii="Times New Roman" w:hAnsi="Times New Roman"/>
                <w:sz w:val="22"/>
                <w:szCs w:val="22"/>
                <w:lang w:val="es-ES_tradnl"/>
              </w:rPr>
              <w:t>3.84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91F3A">
              <w:rPr>
                <w:rFonts w:ascii="Times New Roman" w:hAnsi="Times New Roman"/>
                <w:sz w:val="22"/>
                <w:szCs w:val="22"/>
                <w:lang w:val="es-ES_tradnl"/>
              </w:rPr>
              <w:t>3.94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91F3A">
              <w:rPr>
                <w:rFonts w:ascii="Times New Roman" w:hAnsi="Times New Roman"/>
                <w:sz w:val="22"/>
                <w:szCs w:val="22"/>
                <w:lang w:val="es-ES_tradnl"/>
              </w:rPr>
              <w:t>7.80</w:t>
            </w:r>
          </w:p>
        </w:tc>
      </w:tr>
      <w:tr w:rsidR="00691F3A" w:rsidRPr="00691F3A" w:rsidTr="005C46AB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91F3A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R     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 </w:t>
            </w:r>
            <w:r w:rsidRPr="00691F3A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250-500 </w:t>
            </w:r>
            <w:r w:rsidRPr="00691F3A">
              <w:rPr>
                <w:rFonts w:ascii="Times New Roman" w:hAnsi="Times New Roman"/>
                <w:sz w:val="22"/>
                <w:szCs w:val="22"/>
              </w:rPr>
              <w:t>µ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91F3A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91F3A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91F3A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91F3A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91F3A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</w:tr>
      <w:tr w:rsidR="00691F3A" w:rsidRPr="00691F3A" w:rsidTr="005C46AB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91F3A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A   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 </w:t>
            </w:r>
            <w:r w:rsidRPr="00691F3A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500-1000 </w:t>
            </w:r>
            <w:r w:rsidRPr="00691F3A">
              <w:rPr>
                <w:rFonts w:ascii="Times New Roman" w:hAnsi="Times New Roman"/>
                <w:sz w:val="22"/>
                <w:szCs w:val="22"/>
              </w:rPr>
              <w:t>µ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91F3A">
              <w:rPr>
                <w:rFonts w:ascii="Times New Roman" w:hAnsi="Times New Roman"/>
                <w:sz w:val="22"/>
                <w:szCs w:val="22"/>
              </w:rPr>
              <w:t>0.36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91F3A">
              <w:rPr>
                <w:rFonts w:ascii="Times New Roman" w:hAnsi="Times New Roman"/>
                <w:sz w:val="22"/>
                <w:szCs w:val="22"/>
              </w:rPr>
              <w:t>0.45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91F3A">
              <w:rPr>
                <w:rFonts w:ascii="Times New Roman" w:hAnsi="Times New Roman"/>
                <w:sz w:val="22"/>
                <w:szCs w:val="22"/>
              </w:rPr>
              <w:t>0.28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91F3A">
              <w:rPr>
                <w:rFonts w:ascii="Times New Roman" w:hAnsi="Times New Roman"/>
                <w:sz w:val="22"/>
                <w:szCs w:val="22"/>
              </w:rPr>
              <w:t>0.39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91F3A">
              <w:rPr>
                <w:rFonts w:ascii="Times New Roman" w:hAnsi="Times New Roman"/>
                <w:sz w:val="22"/>
                <w:szCs w:val="22"/>
              </w:rPr>
              <w:t>0.77</w:t>
            </w:r>
          </w:p>
        </w:tc>
      </w:tr>
      <w:tr w:rsidR="00691F3A" w:rsidRPr="00691F3A" w:rsidTr="005C46AB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91F3A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   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 </w:t>
            </w:r>
            <w:bookmarkStart w:id="0" w:name="_GoBack"/>
            <w:bookmarkEnd w:id="0"/>
            <w:r w:rsidRPr="00691F3A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1000-2000 </w:t>
            </w:r>
            <w:r w:rsidRPr="00691F3A">
              <w:rPr>
                <w:rFonts w:ascii="Times New Roman" w:hAnsi="Times New Roman"/>
                <w:sz w:val="22"/>
                <w:szCs w:val="22"/>
              </w:rPr>
              <w:t>µ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91F3A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91F3A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91F3A">
              <w:rPr>
                <w:rFonts w:ascii="Times New Roman" w:hAnsi="Times New Roman"/>
                <w:sz w:val="22"/>
                <w:szCs w:val="22"/>
              </w:rPr>
              <w:t>0.05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91F3A">
              <w:rPr>
                <w:rFonts w:ascii="Times New Roman" w:hAnsi="Times New Roman"/>
                <w:sz w:val="22"/>
                <w:szCs w:val="22"/>
              </w:rPr>
              <w:t>0.01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91F3A">
              <w:rPr>
                <w:rFonts w:ascii="Times New Roman" w:hAnsi="Times New Roman"/>
                <w:sz w:val="22"/>
                <w:szCs w:val="22"/>
              </w:rPr>
              <w:t>0.11</w:t>
            </w:r>
          </w:p>
        </w:tc>
      </w:tr>
      <w:tr w:rsidR="00691F3A" w:rsidRPr="00691F3A" w:rsidTr="005C46AB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  <w:p w:rsidR="00691F3A" w:rsidRPr="00691F3A" w:rsidRDefault="00691F3A" w:rsidP="00691F3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691F3A">
              <w:rPr>
                <w:rFonts w:ascii="Times New Roman" w:hAnsi="Times New Roman"/>
                <w:sz w:val="22"/>
                <w:szCs w:val="22"/>
              </w:rPr>
              <w:t>CO3Ca (%)</w:t>
            </w:r>
          </w:p>
        </w:tc>
        <w:tc>
          <w:tcPr>
            <w:tcW w:w="103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91F3A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3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91F3A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3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91F3A">
              <w:rPr>
                <w:rFonts w:ascii="Times New Roman" w:hAnsi="Times New Roman"/>
                <w:sz w:val="22"/>
                <w:szCs w:val="22"/>
              </w:rPr>
              <w:t>20.8</w:t>
            </w:r>
          </w:p>
        </w:tc>
        <w:tc>
          <w:tcPr>
            <w:tcW w:w="103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91F3A">
              <w:rPr>
                <w:rFonts w:ascii="Times New Roman" w:hAnsi="Times New Roman"/>
                <w:sz w:val="22"/>
                <w:szCs w:val="22"/>
              </w:rPr>
              <w:t>29.4</w:t>
            </w:r>
          </w:p>
        </w:tc>
        <w:tc>
          <w:tcPr>
            <w:tcW w:w="103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91F3A">
              <w:rPr>
                <w:rFonts w:ascii="Times New Roman" w:hAnsi="Times New Roman"/>
                <w:sz w:val="22"/>
                <w:szCs w:val="22"/>
              </w:rPr>
              <w:t>14.9</w:t>
            </w:r>
          </w:p>
        </w:tc>
      </w:tr>
      <w:tr w:rsidR="00691F3A" w:rsidRPr="00691F3A" w:rsidTr="005C46AB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691F3A">
              <w:rPr>
                <w:rFonts w:ascii="Times New Roman" w:hAnsi="Times New Roman"/>
                <w:sz w:val="22"/>
                <w:szCs w:val="22"/>
              </w:rPr>
              <w:t xml:space="preserve">pH H20 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91F3A">
              <w:rPr>
                <w:rFonts w:ascii="Times New Roman" w:hAnsi="Times New Roman"/>
                <w:sz w:val="22"/>
                <w:szCs w:val="22"/>
              </w:rPr>
              <w:t>7.2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91F3A">
              <w:rPr>
                <w:rFonts w:ascii="Times New Roman" w:hAnsi="Times New Roman"/>
                <w:sz w:val="22"/>
                <w:szCs w:val="22"/>
              </w:rPr>
              <w:t>7.5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91F3A">
              <w:rPr>
                <w:rFonts w:ascii="Times New Roman" w:hAnsi="Times New Roman"/>
                <w:sz w:val="22"/>
                <w:szCs w:val="22"/>
              </w:rPr>
              <w:t>8.2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91F3A">
              <w:rPr>
                <w:rFonts w:ascii="Times New Roman" w:hAnsi="Times New Roman"/>
                <w:sz w:val="22"/>
                <w:szCs w:val="22"/>
              </w:rPr>
              <w:t>8.3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91F3A">
              <w:rPr>
                <w:rFonts w:ascii="Times New Roman" w:hAnsi="Times New Roman"/>
                <w:sz w:val="22"/>
                <w:szCs w:val="22"/>
              </w:rPr>
              <w:t>8.2</w:t>
            </w:r>
          </w:p>
        </w:tc>
      </w:tr>
      <w:tr w:rsidR="00691F3A" w:rsidRPr="00691F3A" w:rsidTr="005C46AB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691F3A" w:rsidRPr="00691F3A" w:rsidRDefault="00691F3A" w:rsidP="00691F3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691F3A">
              <w:rPr>
                <w:rFonts w:ascii="Times New Roman" w:hAnsi="Times New Roman"/>
                <w:sz w:val="22"/>
                <w:szCs w:val="22"/>
              </w:rPr>
              <w:t xml:space="preserve">pH </w:t>
            </w:r>
            <w:proofErr w:type="spellStart"/>
            <w:r w:rsidRPr="00691F3A">
              <w:rPr>
                <w:rFonts w:ascii="Times New Roman" w:hAnsi="Times New Roman"/>
                <w:sz w:val="22"/>
                <w:szCs w:val="22"/>
              </w:rPr>
              <w:t>ClK</w:t>
            </w:r>
            <w:proofErr w:type="spellEnd"/>
            <w:r w:rsidRPr="00691F3A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91F3A">
              <w:rPr>
                <w:rFonts w:ascii="Times New Roman" w:hAnsi="Times New Roman"/>
                <w:sz w:val="22"/>
                <w:szCs w:val="22"/>
              </w:rPr>
              <w:t>N.D.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91F3A">
              <w:rPr>
                <w:rFonts w:ascii="Times New Roman" w:hAnsi="Times New Roman"/>
                <w:sz w:val="22"/>
                <w:szCs w:val="22"/>
              </w:rPr>
              <w:t>N.D.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91F3A">
              <w:rPr>
                <w:rFonts w:ascii="Times New Roman" w:hAnsi="Times New Roman"/>
                <w:sz w:val="22"/>
                <w:szCs w:val="22"/>
              </w:rPr>
              <w:t>N.D.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91F3A">
              <w:rPr>
                <w:rFonts w:ascii="Times New Roman" w:hAnsi="Times New Roman"/>
                <w:sz w:val="22"/>
                <w:szCs w:val="22"/>
              </w:rPr>
              <w:t>N.D.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91F3A">
              <w:rPr>
                <w:rFonts w:ascii="Times New Roman" w:hAnsi="Times New Roman"/>
                <w:sz w:val="22"/>
                <w:szCs w:val="22"/>
              </w:rPr>
              <w:t>N.D.</w:t>
            </w:r>
          </w:p>
        </w:tc>
      </w:tr>
      <w:tr w:rsidR="00691F3A" w:rsidRPr="00691F3A" w:rsidTr="005C46AB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691F3A" w:rsidRPr="00691F3A" w:rsidRDefault="00691F3A" w:rsidP="00691F3A">
            <w:pPr>
              <w:pStyle w:val="Encabezado"/>
              <w:tabs>
                <w:tab w:val="clear" w:pos="4419"/>
                <w:tab w:val="clear" w:pos="8838"/>
                <w:tab w:val="left" w:pos="142"/>
              </w:tabs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91F3A">
              <w:rPr>
                <w:rFonts w:ascii="Times New Roman" w:hAnsi="Times New Roman"/>
                <w:sz w:val="22"/>
                <w:szCs w:val="22"/>
                <w:lang w:val="es-ES_tradnl"/>
              </w:rPr>
              <w:t>Capacidad  de intercambio</w:t>
            </w:r>
          </w:p>
          <w:p w:rsidR="00691F3A" w:rsidRPr="00691F3A" w:rsidRDefault="00691F3A" w:rsidP="00691F3A">
            <w:pPr>
              <w:tabs>
                <w:tab w:val="left" w:pos="142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91F3A">
              <w:rPr>
                <w:rFonts w:ascii="Times New Roman" w:hAnsi="Times New Roman"/>
                <w:sz w:val="22"/>
                <w:szCs w:val="22"/>
                <w:lang w:val="es-ES_tradnl"/>
              </w:rPr>
              <w:t>catiónico (</w:t>
            </w:r>
            <w:proofErr w:type="spellStart"/>
            <w:r w:rsidRPr="00691F3A">
              <w:rPr>
                <w:rFonts w:ascii="Times New Roman" w:hAnsi="Times New Roman"/>
                <w:sz w:val="22"/>
                <w:szCs w:val="22"/>
                <w:lang w:val="es-ES_tradnl"/>
              </w:rPr>
              <w:t>m.e</w:t>
            </w:r>
            <w:proofErr w:type="spellEnd"/>
            <w:r w:rsidRPr="00691F3A">
              <w:rPr>
                <w:rFonts w:ascii="Times New Roman" w:hAnsi="Times New Roman"/>
                <w:sz w:val="22"/>
                <w:szCs w:val="22"/>
                <w:lang w:val="es-ES_tradnl"/>
              </w:rPr>
              <w:t>./100 g) =</w:t>
            </w:r>
          </w:p>
          <w:p w:rsidR="00691F3A" w:rsidRPr="00691F3A" w:rsidRDefault="00691F3A" w:rsidP="00691F3A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91F3A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valor T </w:t>
            </w:r>
          </w:p>
        </w:tc>
        <w:tc>
          <w:tcPr>
            <w:tcW w:w="103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91F3A">
              <w:rPr>
                <w:rFonts w:ascii="Times New Roman" w:hAnsi="Times New Roman"/>
                <w:sz w:val="22"/>
                <w:szCs w:val="22"/>
                <w:lang w:val="es-ES_tradnl"/>
              </w:rPr>
              <w:t>43.80</w:t>
            </w:r>
          </w:p>
        </w:tc>
        <w:tc>
          <w:tcPr>
            <w:tcW w:w="103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91F3A">
              <w:rPr>
                <w:rFonts w:ascii="Times New Roman" w:hAnsi="Times New Roman"/>
                <w:sz w:val="22"/>
                <w:szCs w:val="22"/>
              </w:rPr>
              <w:t>49.70</w:t>
            </w:r>
          </w:p>
        </w:tc>
        <w:tc>
          <w:tcPr>
            <w:tcW w:w="103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91F3A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3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91F3A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3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91F3A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</w:tr>
      <w:tr w:rsidR="00691F3A" w:rsidRPr="00691F3A" w:rsidTr="005C46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691F3A" w:rsidRPr="00691F3A" w:rsidRDefault="00691F3A" w:rsidP="00691F3A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91F3A">
              <w:rPr>
                <w:rFonts w:ascii="Times New Roman" w:hAnsi="Times New Roman"/>
                <w:sz w:val="22"/>
                <w:szCs w:val="22"/>
                <w:lang w:val="es-ES_tradnl"/>
              </w:rPr>
              <w:t>d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691F3A" w:rsidRPr="00691F3A" w:rsidRDefault="00691F3A" w:rsidP="00691F3A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91F3A">
              <w:rPr>
                <w:rFonts w:ascii="Times New Roman" w:hAnsi="Times New Roman"/>
                <w:sz w:val="22"/>
                <w:szCs w:val="22"/>
                <w:lang w:val="es-ES_tradnl"/>
              </w:rPr>
              <w:t>Ca++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91F3A">
              <w:rPr>
                <w:rFonts w:ascii="Times New Roman" w:hAnsi="Times New Roman"/>
                <w:sz w:val="22"/>
                <w:szCs w:val="22"/>
                <w:lang w:val="es-ES_tradnl"/>
              </w:rPr>
              <w:t>30.60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91F3A">
              <w:rPr>
                <w:rFonts w:ascii="Times New Roman" w:hAnsi="Times New Roman"/>
                <w:sz w:val="22"/>
                <w:szCs w:val="22"/>
              </w:rPr>
              <w:t>32.3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91F3A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91F3A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91F3A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</w:tr>
      <w:tr w:rsidR="00691F3A" w:rsidRPr="00691F3A" w:rsidTr="005C46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91F3A">
              <w:rPr>
                <w:rFonts w:ascii="Times New Roman" w:hAnsi="Times New Roman"/>
                <w:sz w:val="22"/>
                <w:szCs w:val="22"/>
                <w:lang w:val="es-ES_tradnl"/>
              </w:rPr>
              <w:t>C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91F3A">
              <w:rPr>
                <w:rFonts w:ascii="Times New Roman" w:hAnsi="Times New Roman"/>
                <w:sz w:val="22"/>
                <w:szCs w:val="22"/>
                <w:lang w:val="es-ES_tradnl"/>
              </w:rPr>
              <w:t>e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</w:tr>
      <w:tr w:rsidR="00691F3A" w:rsidRPr="00691F3A" w:rsidTr="005C46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691F3A">
              <w:rPr>
                <w:rFonts w:ascii="Times New Roman" w:hAnsi="Times New Roman"/>
                <w:sz w:val="22"/>
                <w:szCs w:val="22"/>
              </w:rPr>
              <w:t>a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691F3A">
              <w:rPr>
                <w:rFonts w:ascii="Times New Roman" w:hAnsi="Times New Roman"/>
                <w:sz w:val="22"/>
                <w:szCs w:val="22"/>
              </w:rPr>
              <w:t>Mg++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91F3A">
              <w:rPr>
                <w:rFonts w:ascii="Times New Roman" w:hAnsi="Times New Roman"/>
                <w:sz w:val="22"/>
                <w:szCs w:val="22"/>
              </w:rPr>
              <w:t>10.50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91F3A">
              <w:rPr>
                <w:rFonts w:ascii="Times New Roman" w:hAnsi="Times New Roman"/>
                <w:sz w:val="22"/>
                <w:szCs w:val="22"/>
              </w:rPr>
              <w:t>15.80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91F3A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91F3A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91F3A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</w:tr>
      <w:tr w:rsidR="00691F3A" w:rsidRPr="00691F3A" w:rsidTr="005C46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691F3A">
              <w:rPr>
                <w:rFonts w:ascii="Times New Roman" w:hAnsi="Times New Roman"/>
                <w:sz w:val="22"/>
                <w:szCs w:val="22"/>
              </w:rPr>
              <w:t>t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691F3A">
              <w:rPr>
                <w:rFonts w:ascii="Times New Roman" w:hAnsi="Times New Roman"/>
                <w:sz w:val="22"/>
                <w:szCs w:val="22"/>
              </w:rPr>
              <w:t>c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91F3A" w:rsidRPr="00691F3A" w:rsidTr="005C46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691F3A">
              <w:rPr>
                <w:rFonts w:ascii="Times New Roman" w:hAnsi="Times New Roman"/>
                <w:sz w:val="22"/>
                <w:szCs w:val="22"/>
              </w:rPr>
              <w:t>i</w:t>
            </w:r>
            <w:proofErr w:type="spellEnd"/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691F3A">
              <w:rPr>
                <w:rFonts w:ascii="Times New Roman" w:hAnsi="Times New Roman"/>
                <w:sz w:val="22"/>
                <w:szCs w:val="22"/>
              </w:rPr>
              <w:t>a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91F3A">
              <w:rPr>
                <w:rFonts w:ascii="Times New Roman" w:hAnsi="Times New Roman"/>
                <w:sz w:val="22"/>
                <w:szCs w:val="22"/>
                <w:lang w:val="es-ES_tradnl"/>
              </w:rPr>
              <w:t>K+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91F3A">
              <w:rPr>
                <w:rFonts w:ascii="Times New Roman" w:hAnsi="Times New Roman"/>
                <w:sz w:val="22"/>
                <w:szCs w:val="22"/>
              </w:rPr>
              <w:t>0.90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91F3A">
              <w:rPr>
                <w:rFonts w:ascii="Times New Roman" w:hAnsi="Times New Roman"/>
                <w:sz w:val="22"/>
                <w:szCs w:val="22"/>
              </w:rPr>
              <w:t>0.40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91F3A">
              <w:rPr>
                <w:rFonts w:ascii="Times New Roman" w:hAnsi="Times New Roman"/>
                <w:sz w:val="22"/>
                <w:szCs w:val="22"/>
              </w:rPr>
              <w:t>0.32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91F3A">
              <w:rPr>
                <w:rFonts w:ascii="Times New Roman" w:hAnsi="Times New Roman"/>
                <w:sz w:val="22"/>
                <w:szCs w:val="22"/>
              </w:rPr>
              <w:t>0.21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91F3A">
              <w:rPr>
                <w:rFonts w:ascii="Times New Roman" w:hAnsi="Times New Roman"/>
                <w:sz w:val="22"/>
                <w:szCs w:val="22"/>
              </w:rPr>
              <w:t>0.21</w:t>
            </w:r>
          </w:p>
        </w:tc>
      </w:tr>
      <w:tr w:rsidR="00691F3A" w:rsidRPr="00691F3A" w:rsidTr="005C46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91F3A">
              <w:rPr>
                <w:rFonts w:ascii="Times New Roman" w:hAnsi="Times New Roman"/>
                <w:sz w:val="22"/>
                <w:szCs w:val="22"/>
                <w:lang w:val="es-ES_tradnl"/>
              </w:rPr>
              <w:t>o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91F3A">
              <w:rPr>
                <w:rFonts w:ascii="Times New Roman" w:hAnsi="Times New Roman"/>
                <w:sz w:val="22"/>
                <w:szCs w:val="22"/>
                <w:lang w:val="es-ES_tradnl"/>
              </w:rPr>
              <w:t>m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</w:tr>
      <w:tr w:rsidR="00691F3A" w:rsidRPr="00691F3A" w:rsidTr="005C46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91F3A">
              <w:rPr>
                <w:rFonts w:ascii="Times New Roman" w:hAnsi="Times New Roman"/>
                <w:sz w:val="22"/>
                <w:szCs w:val="22"/>
                <w:lang w:val="es-ES_tradnl"/>
              </w:rPr>
              <w:t>n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91F3A">
              <w:rPr>
                <w:rFonts w:ascii="Times New Roman" w:hAnsi="Times New Roman"/>
                <w:sz w:val="22"/>
                <w:szCs w:val="22"/>
                <w:lang w:val="es-ES_tradnl"/>
              </w:rPr>
              <w:t>b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proofErr w:type="spellStart"/>
            <w:r w:rsidRPr="00691F3A">
              <w:rPr>
                <w:rFonts w:ascii="Times New Roman" w:hAnsi="Times New Roman"/>
                <w:sz w:val="22"/>
                <w:szCs w:val="22"/>
                <w:lang w:val="es-ES_tradnl"/>
              </w:rPr>
              <w:t>Na</w:t>
            </w:r>
            <w:proofErr w:type="spellEnd"/>
            <w:r w:rsidRPr="00691F3A">
              <w:rPr>
                <w:rFonts w:ascii="Times New Roman" w:hAnsi="Times New Roman"/>
                <w:sz w:val="22"/>
                <w:szCs w:val="22"/>
                <w:lang w:val="es-ES_tradnl"/>
              </w:rPr>
              <w:t>+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91F3A">
              <w:rPr>
                <w:rFonts w:ascii="Times New Roman" w:hAnsi="Times New Roman"/>
                <w:sz w:val="22"/>
                <w:szCs w:val="22"/>
                <w:lang w:val="es-ES_tradnl"/>
              </w:rPr>
              <w:t>0.63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91F3A">
              <w:rPr>
                <w:rFonts w:ascii="Times New Roman" w:hAnsi="Times New Roman"/>
                <w:sz w:val="22"/>
                <w:szCs w:val="22"/>
              </w:rPr>
              <w:t>0.25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91F3A">
              <w:rPr>
                <w:rFonts w:ascii="Times New Roman" w:hAnsi="Times New Roman"/>
                <w:sz w:val="22"/>
                <w:szCs w:val="22"/>
              </w:rPr>
              <w:t>0.51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91F3A">
              <w:rPr>
                <w:rFonts w:ascii="Times New Roman" w:hAnsi="Times New Roman"/>
                <w:sz w:val="22"/>
                <w:szCs w:val="22"/>
              </w:rPr>
              <w:t>0.38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91F3A">
              <w:rPr>
                <w:rFonts w:ascii="Times New Roman" w:hAnsi="Times New Roman"/>
                <w:sz w:val="22"/>
                <w:szCs w:val="22"/>
              </w:rPr>
              <w:t>0.38</w:t>
            </w:r>
          </w:p>
        </w:tc>
      </w:tr>
      <w:tr w:rsidR="00691F3A" w:rsidRPr="00691F3A" w:rsidTr="005C46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691F3A">
              <w:rPr>
                <w:rFonts w:ascii="Times New Roman" w:hAnsi="Times New Roman"/>
                <w:sz w:val="22"/>
                <w:szCs w:val="22"/>
              </w:rPr>
              <w:t>e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691F3A">
              <w:rPr>
                <w:rFonts w:ascii="Times New Roman" w:hAnsi="Times New Roman"/>
                <w:sz w:val="22"/>
                <w:szCs w:val="22"/>
              </w:rPr>
              <w:t>i</w:t>
            </w:r>
            <w:proofErr w:type="spellEnd"/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91F3A" w:rsidRPr="00691F3A" w:rsidTr="005C46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691F3A">
              <w:rPr>
                <w:rFonts w:ascii="Times New Roman" w:hAnsi="Times New Roman"/>
                <w:sz w:val="22"/>
                <w:szCs w:val="22"/>
              </w:rPr>
              <w:t>s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91F3A">
              <w:rPr>
                <w:rFonts w:ascii="Times New Roman" w:hAnsi="Times New Roman"/>
                <w:sz w:val="22"/>
                <w:szCs w:val="22"/>
                <w:lang w:val="es-ES_tradnl"/>
              </w:rPr>
              <w:t>o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91F3A">
              <w:rPr>
                <w:rFonts w:ascii="Times New Roman" w:hAnsi="Times New Roman"/>
                <w:sz w:val="22"/>
                <w:szCs w:val="22"/>
                <w:lang w:val="es-ES_tradnl"/>
              </w:rPr>
              <w:t>H+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91F3A">
              <w:rPr>
                <w:rFonts w:ascii="Times New Roman" w:hAnsi="Times New Roman"/>
                <w:sz w:val="22"/>
                <w:szCs w:val="22"/>
                <w:lang w:val="es-ES_tradnl"/>
              </w:rPr>
              <w:t>0.90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91F3A">
              <w:rPr>
                <w:rFonts w:ascii="Times New Roman" w:hAnsi="Times New Roman"/>
                <w:sz w:val="22"/>
                <w:szCs w:val="22"/>
              </w:rPr>
              <w:t>0.90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91F3A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91F3A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91F3A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</w:tr>
      <w:tr w:rsidR="00691F3A" w:rsidRPr="00691F3A" w:rsidTr="005C46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</w:tr>
      <w:tr w:rsidR="00691F3A" w:rsidRPr="00691F3A" w:rsidTr="005C46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691F3A" w:rsidRPr="00691F3A" w:rsidRDefault="00691F3A" w:rsidP="00691F3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691F3A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% </w:t>
            </w:r>
            <w:proofErr w:type="spellStart"/>
            <w:r w:rsidRPr="00691F3A">
              <w:rPr>
                <w:rFonts w:ascii="Times New Roman" w:hAnsi="Times New Roman"/>
                <w:sz w:val="22"/>
                <w:szCs w:val="22"/>
                <w:lang w:val="es-ES_tradnl"/>
              </w:rPr>
              <w:t>Na</w:t>
            </w:r>
            <w:proofErr w:type="spellEnd"/>
            <w:r w:rsidRPr="00691F3A">
              <w:rPr>
                <w:rFonts w:ascii="Times New Roman" w:hAnsi="Times New Roman"/>
                <w:sz w:val="22"/>
                <w:szCs w:val="22"/>
                <w:lang w:val="es-ES_tradnl"/>
              </w:rPr>
              <w:t>/T</w:t>
            </w:r>
          </w:p>
        </w:tc>
        <w:tc>
          <w:tcPr>
            <w:tcW w:w="827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691F3A" w:rsidRPr="00691F3A" w:rsidRDefault="00691F3A" w:rsidP="00691F3A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691F3A" w:rsidRPr="00691F3A" w:rsidRDefault="00691F3A" w:rsidP="00691F3A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91F3A">
              <w:rPr>
                <w:rFonts w:ascii="Times New Roman" w:hAnsi="Times New Roman"/>
                <w:sz w:val="22"/>
                <w:szCs w:val="22"/>
                <w:lang w:val="es-ES_tradnl"/>
              </w:rPr>
              <w:t>1.44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91F3A">
              <w:rPr>
                <w:rFonts w:ascii="Times New Roman" w:hAnsi="Times New Roman"/>
                <w:sz w:val="22"/>
                <w:szCs w:val="22"/>
              </w:rPr>
              <w:t>0.50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91F3A">
              <w:rPr>
                <w:rFonts w:ascii="Times New Roman" w:hAnsi="Times New Roman"/>
                <w:sz w:val="22"/>
                <w:szCs w:val="22"/>
              </w:rPr>
              <w:t>N.D.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691F3A">
              <w:rPr>
                <w:rFonts w:ascii="Times New Roman" w:hAnsi="Times New Roman"/>
                <w:color w:val="000000"/>
                <w:sz w:val="22"/>
                <w:szCs w:val="22"/>
              </w:rPr>
              <w:t>N.D.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691F3A">
              <w:rPr>
                <w:rFonts w:ascii="Times New Roman" w:hAnsi="Times New Roman"/>
                <w:color w:val="000000"/>
                <w:sz w:val="22"/>
                <w:szCs w:val="22"/>
              </w:rPr>
              <w:t>N.D.</w:t>
            </w:r>
          </w:p>
        </w:tc>
      </w:tr>
      <w:tr w:rsidR="00691F3A" w:rsidRPr="00691F3A" w:rsidTr="005C46AB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691F3A" w:rsidRPr="00691F3A" w:rsidRDefault="00691F3A" w:rsidP="00691F3A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691F3A" w:rsidRPr="00691F3A" w:rsidRDefault="00691F3A" w:rsidP="00691F3A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proofErr w:type="spellStart"/>
            <w:r w:rsidRPr="00691F3A">
              <w:rPr>
                <w:rFonts w:ascii="Times New Roman" w:hAnsi="Times New Roman"/>
                <w:sz w:val="22"/>
                <w:szCs w:val="22"/>
                <w:lang w:val="es-ES_tradnl"/>
              </w:rPr>
              <w:t>Equival</w:t>
            </w:r>
            <w:proofErr w:type="spellEnd"/>
            <w:r w:rsidRPr="00691F3A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. </w:t>
            </w:r>
            <w:proofErr w:type="gramStart"/>
            <w:r w:rsidRPr="00691F3A">
              <w:rPr>
                <w:rFonts w:ascii="Times New Roman" w:hAnsi="Times New Roman"/>
                <w:sz w:val="22"/>
                <w:szCs w:val="22"/>
                <w:lang w:val="es-ES_tradnl"/>
              </w:rPr>
              <w:t>de</w:t>
            </w:r>
            <w:proofErr w:type="gramEnd"/>
            <w:r w:rsidRPr="00691F3A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humedad (%)</w:t>
            </w:r>
          </w:p>
        </w:tc>
        <w:tc>
          <w:tcPr>
            <w:tcW w:w="103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91F3A">
              <w:rPr>
                <w:rFonts w:ascii="Times New Roman" w:hAnsi="Times New Roman"/>
                <w:sz w:val="22"/>
                <w:szCs w:val="22"/>
                <w:lang w:val="es-ES_tradnl"/>
              </w:rPr>
              <w:t>31.82</w:t>
            </w:r>
          </w:p>
        </w:tc>
        <w:tc>
          <w:tcPr>
            <w:tcW w:w="103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91F3A">
              <w:rPr>
                <w:rFonts w:ascii="Times New Roman" w:hAnsi="Times New Roman"/>
                <w:sz w:val="22"/>
                <w:szCs w:val="22"/>
                <w:lang w:val="es-ES_tradnl"/>
              </w:rPr>
              <w:t>39.00</w:t>
            </w:r>
          </w:p>
        </w:tc>
        <w:tc>
          <w:tcPr>
            <w:tcW w:w="103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91F3A">
              <w:rPr>
                <w:rFonts w:ascii="Times New Roman" w:hAnsi="Times New Roman"/>
                <w:sz w:val="22"/>
                <w:szCs w:val="22"/>
                <w:lang w:val="es-ES_tradnl"/>
              </w:rPr>
              <w:t>33.34</w:t>
            </w:r>
          </w:p>
        </w:tc>
        <w:tc>
          <w:tcPr>
            <w:tcW w:w="103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91F3A">
              <w:rPr>
                <w:rFonts w:ascii="Times New Roman" w:hAnsi="Times New Roman"/>
                <w:sz w:val="22"/>
                <w:szCs w:val="22"/>
                <w:lang w:val="es-ES_tradnl"/>
              </w:rPr>
              <w:t>30.04</w:t>
            </w:r>
          </w:p>
        </w:tc>
        <w:tc>
          <w:tcPr>
            <w:tcW w:w="103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691F3A" w:rsidRPr="00691F3A" w:rsidRDefault="00691F3A" w:rsidP="00691F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691F3A">
              <w:rPr>
                <w:rFonts w:ascii="Times New Roman" w:hAnsi="Times New Roman"/>
                <w:sz w:val="22"/>
                <w:szCs w:val="22"/>
                <w:lang w:val="es-ES_tradnl"/>
              </w:rPr>
              <w:t>29.26</w:t>
            </w:r>
          </w:p>
        </w:tc>
      </w:tr>
    </w:tbl>
    <w:p w:rsidR="00610974" w:rsidRPr="00691F3A" w:rsidRDefault="00610974" w:rsidP="00691F3A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</w:rPr>
      </w:pPr>
    </w:p>
    <w:sectPr w:rsidR="00610974" w:rsidRPr="00691F3A" w:rsidSect="00691F3A">
      <w:pgSz w:w="12240" w:h="15840"/>
      <w:pgMar w:top="1418" w:right="1701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ixar ASCI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endnotePr>
    <w:numFmt w:val="decimal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F3A"/>
    <w:rsid w:val="00610974"/>
    <w:rsid w:val="00691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F3A"/>
    <w:pPr>
      <w:widowControl w:val="0"/>
      <w:autoSpaceDE w:val="0"/>
      <w:autoSpaceDN w:val="0"/>
      <w:adjustRightInd w:val="0"/>
      <w:spacing w:after="0" w:line="240" w:lineRule="auto"/>
    </w:pPr>
    <w:rPr>
      <w:rFonts w:ascii="Vixar ASCI" w:eastAsia="Times New Roman" w:hAnsi="Vixar ASCI" w:cs="Times New Roman"/>
      <w:sz w:val="20"/>
      <w:szCs w:val="24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691F3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691F3A"/>
    <w:rPr>
      <w:rFonts w:ascii="Vixar ASCI" w:eastAsia="Times New Roman" w:hAnsi="Vixar ASCI" w:cs="Times New Roman"/>
      <w:sz w:val="20"/>
      <w:szCs w:val="24"/>
      <w:lang w:val="en-US" w:eastAsia="es-ES"/>
    </w:rPr>
  </w:style>
  <w:style w:type="paragraph" w:styleId="Textoindependiente">
    <w:name w:val="Body Text"/>
    <w:basedOn w:val="Normal"/>
    <w:link w:val="TextoindependienteCar"/>
    <w:rsid w:val="00691F3A"/>
    <w:pPr>
      <w:autoSpaceDE/>
      <w:autoSpaceDN/>
      <w:adjustRightInd/>
      <w:jc w:val="both"/>
    </w:pPr>
    <w:rPr>
      <w:rFonts w:ascii="Times New Roman" w:hAnsi="Times New Roman"/>
      <w:sz w:val="24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691F3A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F3A"/>
    <w:pPr>
      <w:widowControl w:val="0"/>
      <w:autoSpaceDE w:val="0"/>
      <w:autoSpaceDN w:val="0"/>
      <w:adjustRightInd w:val="0"/>
      <w:spacing w:after="0" w:line="240" w:lineRule="auto"/>
    </w:pPr>
    <w:rPr>
      <w:rFonts w:ascii="Vixar ASCI" w:eastAsia="Times New Roman" w:hAnsi="Vixar ASCI" w:cs="Times New Roman"/>
      <w:sz w:val="20"/>
      <w:szCs w:val="24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691F3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691F3A"/>
    <w:rPr>
      <w:rFonts w:ascii="Vixar ASCI" w:eastAsia="Times New Roman" w:hAnsi="Vixar ASCI" w:cs="Times New Roman"/>
      <w:sz w:val="20"/>
      <w:szCs w:val="24"/>
      <w:lang w:val="en-US" w:eastAsia="es-ES"/>
    </w:rPr>
  </w:style>
  <w:style w:type="paragraph" w:styleId="Textoindependiente">
    <w:name w:val="Body Text"/>
    <w:basedOn w:val="Normal"/>
    <w:link w:val="TextoindependienteCar"/>
    <w:rsid w:val="00691F3A"/>
    <w:pPr>
      <w:autoSpaceDE/>
      <w:autoSpaceDN/>
      <w:adjustRightInd/>
      <w:jc w:val="both"/>
    </w:pPr>
    <w:rPr>
      <w:rFonts w:ascii="Times New Roman" w:hAnsi="Times New Roman"/>
      <w:sz w:val="24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691F3A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1253</Words>
  <Characters>6896</Characters>
  <Application>Microsoft Office Word</Application>
  <DocSecurity>0</DocSecurity>
  <Lines>57</Lines>
  <Paragraphs>16</Paragraphs>
  <ScaleCrop>false</ScaleCrop>
  <Company/>
  <LinksUpToDate>false</LinksUpToDate>
  <CharactersWithSpaces>8133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2014-02-10T14:21:00Z</dcterms:created>
  <dcterms:modified xsi:type="dcterms:W3CDTF">2014-02-10T14:30:00Z</dcterms:modified>
</cp:coreProperties>
</file>