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09" w:rsidRPr="00EC4209" w:rsidRDefault="00EC4209" w:rsidP="00EC4209">
      <w:pPr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EC4209">
        <w:rPr>
          <w:b/>
          <w:szCs w:val="24"/>
        </w:rPr>
        <w:t>SERIE LA SUSANA</w:t>
      </w:r>
      <w:r w:rsidRPr="00EC4209">
        <w:rPr>
          <w:szCs w:val="24"/>
        </w:rPr>
        <w:t xml:space="preserve">                                                              </w:t>
      </w:r>
      <w:r>
        <w:rPr>
          <w:szCs w:val="24"/>
        </w:rPr>
        <w:t xml:space="preserve">    </w:t>
      </w:r>
      <w:r w:rsidRPr="00EC4209">
        <w:rPr>
          <w:szCs w:val="24"/>
        </w:rPr>
        <w:t xml:space="preserve">                      Símbolo: </w:t>
      </w:r>
      <w:proofErr w:type="spellStart"/>
      <w:r w:rsidRPr="00EC4209">
        <w:rPr>
          <w:b/>
          <w:szCs w:val="24"/>
        </w:rPr>
        <w:t>LSu</w:t>
      </w:r>
      <w:proofErr w:type="spellEnd"/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t xml:space="preserve">Pertenece a la familia "fina, </w:t>
      </w:r>
      <w:proofErr w:type="spellStart"/>
      <w:r w:rsidRPr="00EC4209">
        <w:rPr>
          <w:sz w:val="22"/>
          <w:szCs w:val="22"/>
        </w:rPr>
        <w:t>montmorillonítica</w:t>
      </w:r>
      <w:proofErr w:type="spellEnd"/>
      <w:r w:rsidRPr="00EC4209">
        <w:rPr>
          <w:sz w:val="22"/>
          <w:szCs w:val="22"/>
        </w:rPr>
        <w:t xml:space="preserve">,  térmica" de los </w:t>
      </w:r>
      <w:proofErr w:type="spellStart"/>
      <w:r w:rsidRPr="00EC4209">
        <w:rPr>
          <w:sz w:val="22"/>
          <w:szCs w:val="22"/>
          <w:u w:val="single"/>
        </w:rPr>
        <w:t>Peludertes</w:t>
      </w:r>
      <w:proofErr w:type="spellEnd"/>
      <w:r w:rsidRPr="00EC4209">
        <w:rPr>
          <w:sz w:val="22"/>
          <w:szCs w:val="22"/>
          <w:u w:val="single"/>
        </w:rPr>
        <w:t xml:space="preserve"> </w:t>
      </w:r>
      <w:proofErr w:type="spellStart"/>
      <w:r w:rsidRPr="00EC4209">
        <w:rPr>
          <w:sz w:val="22"/>
          <w:szCs w:val="22"/>
          <w:u w:val="single"/>
        </w:rPr>
        <w:t>árgicos</w:t>
      </w:r>
      <w:proofErr w:type="spellEnd"/>
      <w:r w:rsidRPr="00EC4209">
        <w:rPr>
          <w:sz w:val="22"/>
          <w:szCs w:val="22"/>
          <w:u w:val="single"/>
        </w:rPr>
        <w:t xml:space="preserve"> crómicos</w:t>
      </w:r>
      <w:r w:rsidRPr="00EC4209">
        <w:rPr>
          <w:sz w:val="22"/>
          <w:szCs w:val="22"/>
        </w:rPr>
        <w:t xml:space="preserve">. Suelos moderadamente bien drenados con un </w:t>
      </w:r>
      <w:proofErr w:type="spellStart"/>
      <w:r w:rsidRPr="00EC4209">
        <w:rPr>
          <w:sz w:val="22"/>
          <w:szCs w:val="22"/>
        </w:rPr>
        <w:t>epipedón</w:t>
      </w:r>
      <w:proofErr w:type="spellEnd"/>
      <w:r w:rsidRPr="00EC4209">
        <w:rPr>
          <w:sz w:val="22"/>
          <w:szCs w:val="22"/>
        </w:rPr>
        <w:t xml:space="preserve"> franco-arcillo-limoso bien estructurado debido al “</w:t>
      </w:r>
      <w:proofErr w:type="spellStart"/>
      <w:r w:rsidRPr="00EC4209">
        <w:rPr>
          <w:sz w:val="22"/>
          <w:szCs w:val="22"/>
        </w:rPr>
        <w:t>self-mulching</w:t>
      </w:r>
      <w:proofErr w:type="spellEnd"/>
      <w:r w:rsidRPr="00EC4209">
        <w:rPr>
          <w:sz w:val="22"/>
          <w:szCs w:val="22"/>
        </w:rPr>
        <w:t>”.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t xml:space="preserve">No presenta </w:t>
      </w:r>
      <w:proofErr w:type="spellStart"/>
      <w:r w:rsidRPr="00EC4209">
        <w:rPr>
          <w:sz w:val="22"/>
          <w:szCs w:val="22"/>
        </w:rPr>
        <w:t>microrelieve</w:t>
      </w:r>
      <w:proofErr w:type="spellEnd"/>
      <w:r w:rsidRPr="00EC4209">
        <w:rPr>
          <w:sz w:val="22"/>
          <w:szCs w:val="22"/>
        </w:rPr>
        <w:t xml:space="preserve"> </w:t>
      </w:r>
      <w:proofErr w:type="spellStart"/>
      <w:r w:rsidRPr="00EC4209">
        <w:rPr>
          <w:sz w:val="22"/>
          <w:szCs w:val="22"/>
        </w:rPr>
        <w:t>gilgai</w:t>
      </w:r>
      <w:proofErr w:type="spellEnd"/>
      <w:r w:rsidRPr="00EC4209">
        <w:rPr>
          <w:sz w:val="22"/>
          <w:szCs w:val="22"/>
        </w:rPr>
        <w:t xml:space="preserve"> visible en el terreno, pero sí muy tenue en las fotografías aéreas. Está moderadamente erosionada. Las concreciones calcáreas aparecen entre 55-60 cm de profundidad. 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b/>
          <w:sz w:val="22"/>
          <w:szCs w:val="22"/>
        </w:rPr>
        <w:t>Perfil tipo</w:t>
      </w:r>
      <w:r w:rsidRPr="00EC4209">
        <w:rPr>
          <w:sz w:val="22"/>
          <w:szCs w:val="22"/>
        </w:rPr>
        <w:t>: ER6-30C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b/>
          <w:sz w:val="22"/>
          <w:szCs w:val="22"/>
        </w:rPr>
        <w:t>Fecha</w:t>
      </w:r>
      <w:r w:rsidRPr="00EC4209">
        <w:rPr>
          <w:sz w:val="22"/>
          <w:szCs w:val="22"/>
        </w:rPr>
        <w:t>: 2-XII-86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b/>
          <w:sz w:val="22"/>
          <w:szCs w:val="22"/>
        </w:rPr>
        <w:t>Ubicación</w:t>
      </w:r>
      <w:r w:rsidRPr="00EC4209">
        <w:rPr>
          <w:sz w:val="22"/>
          <w:szCs w:val="22"/>
        </w:rPr>
        <w:t xml:space="preserve">: 500 m sudoeste del casco de la </w:t>
      </w:r>
      <w:proofErr w:type="spellStart"/>
      <w:r w:rsidRPr="00EC4209">
        <w:rPr>
          <w:sz w:val="22"/>
          <w:szCs w:val="22"/>
        </w:rPr>
        <w:t>Ea</w:t>
      </w:r>
      <w:proofErr w:type="spellEnd"/>
      <w:r w:rsidRPr="00EC4209">
        <w:rPr>
          <w:sz w:val="22"/>
          <w:szCs w:val="22"/>
        </w:rPr>
        <w:t xml:space="preserve">. La Susana (foto IR431-33) - dto. </w:t>
      </w:r>
      <w:proofErr w:type="spellStart"/>
      <w:r w:rsidRPr="00EC4209">
        <w:rPr>
          <w:sz w:val="22"/>
          <w:szCs w:val="22"/>
        </w:rPr>
        <w:t>Algarrobitos</w:t>
      </w:r>
      <w:proofErr w:type="spellEnd"/>
      <w:r w:rsidRPr="00EC4209">
        <w:rPr>
          <w:sz w:val="22"/>
          <w:szCs w:val="22"/>
        </w:rPr>
        <w:t xml:space="preserve"> - Dpto. </w:t>
      </w:r>
      <w:proofErr w:type="spellStart"/>
      <w:r w:rsidRPr="00EC4209">
        <w:rPr>
          <w:sz w:val="22"/>
          <w:szCs w:val="22"/>
        </w:rPr>
        <w:t>Nogoyá</w:t>
      </w:r>
      <w:proofErr w:type="spellEnd"/>
      <w:r w:rsidRPr="00EC4209">
        <w:rPr>
          <w:sz w:val="22"/>
          <w:szCs w:val="22"/>
        </w:rPr>
        <w:t>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b/>
          <w:sz w:val="22"/>
          <w:szCs w:val="22"/>
        </w:rPr>
        <w:t>Reconocedores</w:t>
      </w:r>
      <w:r w:rsidRPr="00EC4209">
        <w:rPr>
          <w:sz w:val="22"/>
          <w:szCs w:val="22"/>
        </w:rPr>
        <w:t>: D.J. Bedendo. L.O. López.</w:t>
      </w:r>
    </w:p>
    <w:p w:rsid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proofErr w:type="spellStart"/>
      <w:r w:rsidRPr="00EC4209">
        <w:rPr>
          <w:b/>
          <w:sz w:val="22"/>
          <w:szCs w:val="22"/>
        </w:rPr>
        <w:t>Ap</w:t>
      </w:r>
      <w:proofErr w:type="spellEnd"/>
      <w:r w:rsidRPr="00EC420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4209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EC4209">
        <w:rPr>
          <w:sz w:val="22"/>
          <w:szCs w:val="22"/>
        </w:rPr>
        <w:t xml:space="preserve">15 cm; gris muy oscuro (10YR 3/1) en húmedo; pardo grisáceo oscuro (10YR 4/2) en seco; franco-arcillo-limoso; estructura granular y bloques </w:t>
      </w:r>
      <w:proofErr w:type="spellStart"/>
      <w:r w:rsidRPr="00EC4209">
        <w:rPr>
          <w:sz w:val="22"/>
          <w:szCs w:val="22"/>
        </w:rPr>
        <w:t>subangulares</w:t>
      </w:r>
      <w:proofErr w:type="spellEnd"/>
      <w:r w:rsidRPr="00EC4209">
        <w:rPr>
          <w:sz w:val="22"/>
          <w:szCs w:val="22"/>
        </w:rPr>
        <w:t>, medios, moderados; ligeramente duro en seco; friable en húmedo; barnices ("</w:t>
      </w:r>
      <w:proofErr w:type="spellStart"/>
      <w:r w:rsidRPr="00EC4209">
        <w:rPr>
          <w:sz w:val="22"/>
          <w:szCs w:val="22"/>
        </w:rPr>
        <w:t>humic</w:t>
      </w:r>
      <w:proofErr w:type="spellEnd"/>
      <w:r w:rsidRPr="00EC4209">
        <w:rPr>
          <w:sz w:val="22"/>
          <w:szCs w:val="22"/>
        </w:rPr>
        <w:t xml:space="preserve"> </w:t>
      </w:r>
      <w:proofErr w:type="spellStart"/>
      <w:r w:rsidRPr="00EC4209">
        <w:rPr>
          <w:sz w:val="22"/>
          <w:szCs w:val="22"/>
        </w:rPr>
        <w:t>skins</w:t>
      </w:r>
      <w:proofErr w:type="spellEnd"/>
      <w:r w:rsidRPr="00EC4209">
        <w:rPr>
          <w:sz w:val="22"/>
          <w:szCs w:val="22"/>
        </w:rPr>
        <w:t>") escasos; límite claro, suave.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B21t</w:t>
      </w:r>
      <w:r w:rsidRPr="00EC420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4209">
        <w:rPr>
          <w:sz w:val="22"/>
          <w:szCs w:val="22"/>
        </w:rPr>
        <w:t>15</w:t>
      </w:r>
      <w:r>
        <w:rPr>
          <w:sz w:val="22"/>
          <w:szCs w:val="22"/>
        </w:rPr>
        <w:t>-</w:t>
      </w:r>
      <w:r w:rsidRPr="00EC4209">
        <w:rPr>
          <w:sz w:val="22"/>
          <w:szCs w:val="22"/>
        </w:rPr>
        <w:t xml:space="preserve">34 cm; gris </w:t>
      </w:r>
      <w:r>
        <w:rPr>
          <w:sz w:val="22"/>
          <w:szCs w:val="22"/>
        </w:rPr>
        <w:t>m</w:t>
      </w:r>
      <w:r w:rsidRPr="00EC4209">
        <w:rPr>
          <w:sz w:val="22"/>
          <w:szCs w:val="22"/>
        </w:rPr>
        <w:t>uy oscuro (10YR 3/1) en húmedo; arcillo-limoso; estructura en prismas compuestos irregulares, medios, moderados, que rompen en bloques angulares irregulares y cuneiformes, medios, moderados; firme en húmedo; barnices ("</w:t>
      </w:r>
      <w:proofErr w:type="spellStart"/>
      <w:r w:rsidRPr="00EC4209">
        <w:rPr>
          <w:sz w:val="22"/>
          <w:szCs w:val="22"/>
        </w:rPr>
        <w:t>clay</w:t>
      </w:r>
      <w:proofErr w:type="spellEnd"/>
      <w:r w:rsidRPr="00EC4209">
        <w:rPr>
          <w:sz w:val="22"/>
          <w:szCs w:val="22"/>
        </w:rPr>
        <w:t xml:space="preserve"> </w:t>
      </w:r>
      <w:proofErr w:type="spellStart"/>
      <w:r w:rsidRPr="00EC4209">
        <w:rPr>
          <w:sz w:val="22"/>
          <w:szCs w:val="22"/>
        </w:rPr>
        <w:t>skins</w:t>
      </w:r>
      <w:proofErr w:type="spellEnd"/>
      <w:r w:rsidRPr="00EC4209">
        <w:rPr>
          <w:sz w:val="22"/>
          <w:szCs w:val="22"/>
        </w:rPr>
        <w:t>") comunes a  abundantes; caras de fricción (“</w:t>
      </w:r>
      <w:proofErr w:type="spellStart"/>
      <w:r w:rsidRPr="00EC4209">
        <w:rPr>
          <w:sz w:val="22"/>
          <w:szCs w:val="22"/>
        </w:rPr>
        <w:t>slickensides</w:t>
      </w:r>
      <w:proofErr w:type="spellEnd"/>
      <w:r w:rsidRPr="00EC4209">
        <w:rPr>
          <w:sz w:val="22"/>
          <w:szCs w:val="22"/>
        </w:rPr>
        <w:t>”) comunes e inter</w:t>
      </w:r>
      <w:r>
        <w:rPr>
          <w:sz w:val="22"/>
          <w:szCs w:val="22"/>
        </w:rPr>
        <w:t>s</w:t>
      </w:r>
      <w:r w:rsidRPr="00EC4209">
        <w:rPr>
          <w:sz w:val="22"/>
          <w:szCs w:val="22"/>
        </w:rPr>
        <w:t>ectadas; moteados de hierro-manganeso escasos, finos y débiles; límite gradual, suave.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EC420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EC4209">
        <w:rPr>
          <w:sz w:val="22"/>
          <w:szCs w:val="22"/>
        </w:rPr>
        <w:t>34</w:t>
      </w:r>
      <w:r>
        <w:rPr>
          <w:sz w:val="22"/>
          <w:szCs w:val="22"/>
        </w:rPr>
        <w:t>-</w:t>
      </w:r>
      <w:r w:rsidRPr="00EC4209">
        <w:rPr>
          <w:sz w:val="22"/>
          <w:szCs w:val="22"/>
        </w:rPr>
        <w:t>54 cm; negro (10YR 2/2) en húmedo; arcillo-limoso; estructura en prismas compuestos irregulares, medios, débiles, que rompen en bloques angulares irregulares y bloques cuneiformes, medios, débiles; firme en húmedo; barnices (“</w:t>
      </w:r>
      <w:proofErr w:type="spellStart"/>
      <w:r w:rsidRPr="00EC4209">
        <w:rPr>
          <w:sz w:val="22"/>
          <w:szCs w:val="22"/>
        </w:rPr>
        <w:t>clay</w:t>
      </w:r>
      <w:proofErr w:type="spellEnd"/>
      <w:r w:rsidRPr="00EC4209">
        <w:rPr>
          <w:sz w:val="22"/>
          <w:szCs w:val="22"/>
        </w:rPr>
        <w:t xml:space="preserve"> </w:t>
      </w:r>
      <w:proofErr w:type="spellStart"/>
      <w:r w:rsidRPr="00EC4209">
        <w:rPr>
          <w:sz w:val="22"/>
          <w:szCs w:val="22"/>
        </w:rPr>
        <w:t>skins</w:t>
      </w:r>
      <w:proofErr w:type="spellEnd"/>
      <w:r w:rsidRPr="00EC4209">
        <w:rPr>
          <w:sz w:val="22"/>
          <w:szCs w:val="22"/>
        </w:rPr>
        <w:t>”) comunes; caras de fricción (“</w:t>
      </w:r>
      <w:proofErr w:type="spellStart"/>
      <w:r w:rsidRPr="00EC4209">
        <w:rPr>
          <w:sz w:val="22"/>
          <w:szCs w:val="22"/>
        </w:rPr>
        <w:t>slickensides</w:t>
      </w:r>
      <w:proofErr w:type="spellEnd"/>
      <w:r w:rsidRPr="00EC4209">
        <w:rPr>
          <w:sz w:val="22"/>
          <w:szCs w:val="22"/>
        </w:rPr>
        <w:t xml:space="preserve">”) abundantes, medias y muy </w:t>
      </w:r>
      <w:proofErr w:type="spellStart"/>
      <w:r w:rsidRPr="00EC4209">
        <w:rPr>
          <w:sz w:val="22"/>
          <w:szCs w:val="22"/>
        </w:rPr>
        <w:t>intercectadas</w:t>
      </w:r>
      <w:proofErr w:type="spellEnd"/>
      <w:r w:rsidRPr="00EC4209">
        <w:rPr>
          <w:sz w:val="22"/>
          <w:szCs w:val="22"/>
        </w:rPr>
        <w:t xml:space="preserve">; concreciones de </w:t>
      </w:r>
      <w:proofErr w:type="spellStart"/>
      <w:r w:rsidRPr="00EC4209">
        <w:rPr>
          <w:sz w:val="22"/>
          <w:szCs w:val="22"/>
        </w:rPr>
        <w:t>ferromanganesíferas</w:t>
      </w:r>
      <w:proofErr w:type="spellEnd"/>
      <w:r w:rsidRPr="00EC4209">
        <w:rPr>
          <w:sz w:val="22"/>
          <w:szCs w:val="22"/>
        </w:rPr>
        <w:t xml:space="preserve"> escasas, finas; moteados de hierro-manganeso, comunes, finos y precisos; límite gradual, ondulado.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b/>
          <w:sz w:val="22"/>
          <w:szCs w:val="22"/>
        </w:rPr>
        <w:t>B3ca</w:t>
      </w:r>
      <w:r w:rsidRPr="00EC420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4209">
        <w:rPr>
          <w:sz w:val="22"/>
          <w:szCs w:val="22"/>
        </w:rPr>
        <w:t>54</w:t>
      </w:r>
      <w:r>
        <w:rPr>
          <w:sz w:val="22"/>
          <w:szCs w:val="22"/>
        </w:rPr>
        <w:t>-</w:t>
      </w:r>
      <w:r w:rsidRPr="00EC4209">
        <w:rPr>
          <w:sz w:val="22"/>
          <w:szCs w:val="22"/>
        </w:rPr>
        <w:t>98 cm; pardo a pardo oscuro (7.5YR 4/3) en húmedo; arcillo-limoso; estructura en prismas compuestos irregulares, medios, moderados que rompen en bloques angulares irregulares, gruesos, moderados;  firme en húmedo; barnices (“</w:t>
      </w:r>
      <w:proofErr w:type="spellStart"/>
      <w:r w:rsidRPr="00EC4209">
        <w:rPr>
          <w:sz w:val="22"/>
          <w:szCs w:val="22"/>
        </w:rPr>
        <w:t>clay</w:t>
      </w:r>
      <w:proofErr w:type="spellEnd"/>
      <w:r w:rsidRPr="00EC4209">
        <w:rPr>
          <w:sz w:val="22"/>
          <w:szCs w:val="22"/>
        </w:rPr>
        <w:t xml:space="preserve"> </w:t>
      </w:r>
      <w:proofErr w:type="spellStart"/>
      <w:r w:rsidRPr="00EC4209">
        <w:rPr>
          <w:sz w:val="22"/>
          <w:szCs w:val="22"/>
        </w:rPr>
        <w:t>skins</w:t>
      </w:r>
      <w:proofErr w:type="spellEnd"/>
      <w:r w:rsidRPr="00EC4209">
        <w:rPr>
          <w:sz w:val="22"/>
          <w:szCs w:val="22"/>
        </w:rPr>
        <w:t>”) escasos; caras de fricción (“</w:t>
      </w:r>
      <w:proofErr w:type="spellStart"/>
      <w:r w:rsidRPr="00EC4209">
        <w:rPr>
          <w:sz w:val="22"/>
          <w:szCs w:val="22"/>
        </w:rPr>
        <w:t>slickensides</w:t>
      </w:r>
      <w:proofErr w:type="spellEnd"/>
      <w:r w:rsidRPr="00EC4209">
        <w:rPr>
          <w:sz w:val="22"/>
          <w:szCs w:val="22"/>
        </w:rPr>
        <w:t>”) abundantes, gruesas e inter</w:t>
      </w:r>
      <w:r>
        <w:rPr>
          <w:sz w:val="22"/>
          <w:szCs w:val="22"/>
        </w:rPr>
        <w:t>s</w:t>
      </w:r>
      <w:r w:rsidRPr="00EC4209">
        <w:rPr>
          <w:sz w:val="22"/>
          <w:szCs w:val="22"/>
        </w:rPr>
        <w:t xml:space="preserve">ectadas; concreciones </w:t>
      </w:r>
      <w:proofErr w:type="spellStart"/>
      <w:r w:rsidRPr="00EC4209">
        <w:rPr>
          <w:sz w:val="22"/>
          <w:szCs w:val="22"/>
        </w:rPr>
        <w:t>ferromanganesíferas</w:t>
      </w:r>
      <w:proofErr w:type="spellEnd"/>
      <w:r w:rsidRPr="00EC4209">
        <w:rPr>
          <w:sz w:val="22"/>
          <w:szCs w:val="22"/>
        </w:rPr>
        <w:t xml:space="preserve"> comunes; comunes carbonatos libres en la masa; concreciones calcáreas comunes a abundantes; moteados de hierro-manganeso comunes, finos y precisos; límite gradual, ondulado.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b/>
          <w:sz w:val="22"/>
          <w:szCs w:val="22"/>
        </w:rPr>
        <w:t>C</w:t>
      </w:r>
      <w:r w:rsidRPr="00EC420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4209">
        <w:rPr>
          <w:sz w:val="22"/>
          <w:szCs w:val="22"/>
        </w:rPr>
        <w:t xml:space="preserve">98 cm +; pardo (7.5YR 5/4) en húmedo; franco-arcillo-limoso; </w:t>
      </w:r>
      <w:proofErr w:type="gramStart"/>
      <w:r w:rsidRPr="00EC4209">
        <w:rPr>
          <w:sz w:val="22"/>
          <w:szCs w:val="22"/>
        </w:rPr>
        <w:t>masivo ;</w:t>
      </w:r>
      <w:proofErr w:type="gramEnd"/>
      <w:r w:rsidRPr="00EC4209">
        <w:rPr>
          <w:sz w:val="22"/>
          <w:szCs w:val="22"/>
        </w:rPr>
        <w:t xml:space="preserve"> friable en húmedo; caras de fricción (“</w:t>
      </w:r>
      <w:proofErr w:type="spellStart"/>
      <w:r w:rsidRPr="00EC4209">
        <w:rPr>
          <w:sz w:val="22"/>
          <w:szCs w:val="22"/>
        </w:rPr>
        <w:t>slickensides</w:t>
      </w:r>
      <w:proofErr w:type="spellEnd"/>
      <w:r w:rsidRPr="00EC4209">
        <w:rPr>
          <w:sz w:val="22"/>
          <w:szCs w:val="22"/>
        </w:rPr>
        <w:t>”) escasas, inherentes al material; escasos carbonatos libres en la masa; concreciones calcáreas comunes; moteados de hierro-manganeso comunes, medios y precisos.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Default="00EC4209" w:rsidP="00EC4209">
      <w:pPr>
        <w:pStyle w:val="Textoindependiente"/>
        <w:rPr>
          <w:b/>
          <w:sz w:val="22"/>
          <w:szCs w:val="22"/>
          <w:u w:val="single"/>
        </w:rPr>
      </w:pPr>
    </w:p>
    <w:p w:rsidR="00EC4209" w:rsidRDefault="00EC4209" w:rsidP="00EC4209">
      <w:pPr>
        <w:pStyle w:val="Textoindependiente"/>
        <w:rPr>
          <w:b/>
          <w:sz w:val="22"/>
          <w:szCs w:val="22"/>
          <w:u w:val="single"/>
        </w:rPr>
      </w:pPr>
    </w:p>
    <w:p w:rsidR="00EC4209" w:rsidRPr="00EC4209" w:rsidRDefault="00EC4209" w:rsidP="00EC4209">
      <w:pPr>
        <w:pStyle w:val="Textoindependiente"/>
        <w:rPr>
          <w:b/>
          <w:sz w:val="22"/>
          <w:szCs w:val="22"/>
        </w:rPr>
      </w:pPr>
      <w:r w:rsidRPr="00EC4209">
        <w:rPr>
          <w:b/>
          <w:sz w:val="22"/>
          <w:szCs w:val="22"/>
          <w:u w:val="single"/>
        </w:rPr>
        <w:lastRenderedPageBreak/>
        <w:t>Variabilidad de rasgos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t xml:space="preserve">La variabilidad está determinada por dos procesos, uno la erosión hídrica existente y el otro por la formación incipiente del </w:t>
      </w:r>
      <w:proofErr w:type="spellStart"/>
      <w:r w:rsidRPr="00EC4209">
        <w:rPr>
          <w:sz w:val="22"/>
          <w:szCs w:val="22"/>
        </w:rPr>
        <w:t>gilgai</w:t>
      </w:r>
      <w:proofErr w:type="spellEnd"/>
      <w:r w:rsidRPr="00EC4209">
        <w:rPr>
          <w:sz w:val="22"/>
          <w:szCs w:val="22"/>
        </w:rPr>
        <w:t xml:space="preserve">, que aunque no se manifieste como un </w:t>
      </w:r>
      <w:proofErr w:type="spellStart"/>
      <w:r w:rsidRPr="00EC4209">
        <w:rPr>
          <w:sz w:val="22"/>
          <w:szCs w:val="22"/>
        </w:rPr>
        <w:t>microrelieve</w:t>
      </w:r>
      <w:proofErr w:type="spellEnd"/>
      <w:r w:rsidRPr="00EC4209">
        <w:rPr>
          <w:sz w:val="22"/>
          <w:szCs w:val="22"/>
        </w:rPr>
        <w:t xml:space="preserve"> visible en el terreno, si es en la fotografía aérea. En el bajo del </w:t>
      </w:r>
      <w:proofErr w:type="spellStart"/>
      <w:r w:rsidRPr="00EC4209">
        <w:rPr>
          <w:sz w:val="22"/>
          <w:szCs w:val="22"/>
        </w:rPr>
        <w:t>gilgai</w:t>
      </w:r>
      <w:proofErr w:type="spellEnd"/>
      <w:r w:rsidRPr="00EC4209">
        <w:rPr>
          <w:sz w:val="22"/>
          <w:szCs w:val="22"/>
        </w:rPr>
        <w:t xml:space="preserve"> el </w:t>
      </w:r>
      <w:proofErr w:type="spellStart"/>
      <w:r w:rsidRPr="00EC4209">
        <w:rPr>
          <w:sz w:val="22"/>
          <w:szCs w:val="22"/>
        </w:rPr>
        <w:t>solum</w:t>
      </w:r>
      <w:proofErr w:type="spellEnd"/>
      <w:r w:rsidRPr="00EC4209">
        <w:rPr>
          <w:sz w:val="22"/>
          <w:szCs w:val="22"/>
        </w:rPr>
        <w:t xml:space="preserve"> tiene entre 90-120 cm.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t xml:space="preserve">El </w:t>
      </w:r>
      <w:proofErr w:type="spellStart"/>
      <w:r w:rsidRPr="00EC4209">
        <w:rPr>
          <w:sz w:val="22"/>
          <w:szCs w:val="22"/>
        </w:rPr>
        <w:t>epipedón</w:t>
      </w:r>
      <w:proofErr w:type="spellEnd"/>
      <w:r w:rsidRPr="00EC4209">
        <w:rPr>
          <w:sz w:val="22"/>
          <w:szCs w:val="22"/>
        </w:rPr>
        <w:t xml:space="preserve"> varía de 15 a 20 cm de espesor y generalmente está bien estructurado por efecto del “</w:t>
      </w:r>
      <w:proofErr w:type="spellStart"/>
      <w:r w:rsidRPr="00EC4209">
        <w:rPr>
          <w:sz w:val="22"/>
          <w:szCs w:val="22"/>
        </w:rPr>
        <w:t>self-mulching</w:t>
      </w:r>
      <w:proofErr w:type="spellEnd"/>
      <w:r w:rsidRPr="00EC4209">
        <w:rPr>
          <w:sz w:val="22"/>
          <w:szCs w:val="22"/>
        </w:rPr>
        <w:t>”.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t>El calcáreo en concreciones pequeñas, aparece entre los 55-60 cm, generalmente en el horizonte B3 o parte inferior del horizonte B22.</w:t>
      </w:r>
    </w:p>
    <w:p w:rsid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b/>
          <w:sz w:val="22"/>
          <w:szCs w:val="22"/>
        </w:rPr>
      </w:pPr>
      <w:r w:rsidRPr="00EC4209">
        <w:rPr>
          <w:b/>
          <w:sz w:val="22"/>
          <w:szCs w:val="22"/>
          <w:u w:val="single"/>
        </w:rPr>
        <w:t>Fases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jc w:val="both"/>
        <w:rPr>
          <w:sz w:val="22"/>
          <w:szCs w:val="22"/>
          <w:lang w:val="es-ES_tradnl"/>
        </w:rPr>
      </w:pPr>
      <w:r w:rsidRPr="00EC4209">
        <w:rPr>
          <w:sz w:val="22"/>
          <w:szCs w:val="22"/>
          <w:lang w:val="es-ES_tradnl"/>
        </w:rPr>
        <w:t>Severamente erosionada (símbolo: LSu.h3)</w:t>
      </w:r>
    </w:p>
    <w:p w:rsidR="00EC4209" w:rsidRPr="00EC4209" w:rsidRDefault="00EC4209" w:rsidP="00EC4209">
      <w:pPr>
        <w:jc w:val="both"/>
        <w:rPr>
          <w:sz w:val="22"/>
          <w:szCs w:val="22"/>
          <w:lang w:val="es-ES_tradnl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b/>
          <w:sz w:val="22"/>
          <w:szCs w:val="22"/>
        </w:rPr>
      </w:pPr>
      <w:r w:rsidRPr="00EC4209">
        <w:rPr>
          <w:b/>
          <w:sz w:val="22"/>
          <w:szCs w:val="22"/>
          <w:u w:val="single"/>
        </w:rPr>
        <w:t>Drenaje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t>Moderadamente bien drenado. Escurrimiento superficial medio a rápido. Permeabilidad moderadamente lenta a lenta. Capa freática profunda (70 m). Grupo hidrológico D.</w:t>
      </w:r>
    </w:p>
    <w:p w:rsid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b/>
          <w:sz w:val="22"/>
          <w:szCs w:val="22"/>
        </w:rPr>
      </w:pPr>
      <w:r w:rsidRPr="00EC4209">
        <w:rPr>
          <w:b/>
          <w:sz w:val="22"/>
          <w:szCs w:val="22"/>
          <w:u w:val="single"/>
        </w:rPr>
        <w:t>Erosión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t>Serie La Susana muestra una erosión actual laminar moderada, a veces en pequeños surcos. El suelo tiene gran peligro de erosión en surcos y cárcavas.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sz w:val="22"/>
          <w:szCs w:val="22"/>
        </w:rPr>
        <w:br w:type="page"/>
      </w:r>
    </w:p>
    <w:p w:rsidR="00EC4209" w:rsidRPr="00EC4209" w:rsidRDefault="00EC4209" w:rsidP="00EC4209">
      <w:pPr>
        <w:pStyle w:val="Textoindependiente"/>
        <w:jc w:val="left"/>
        <w:rPr>
          <w:sz w:val="22"/>
          <w:szCs w:val="22"/>
          <w:u w:val="single"/>
        </w:rPr>
      </w:pPr>
      <w:r w:rsidRPr="00EC4209">
        <w:rPr>
          <w:b/>
          <w:sz w:val="22"/>
          <w:szCs w:val="22"/>
          <w:u w:val="single"/>
        </w:rPr>
        <w:lastRenderedPageBreak/>
        <w:t xml:space="preserve">DATOS ANALITICOS </w:t>
      </w:r>
      <w:bookmarkStart w:id="0" w:name="_GoBack"/>
      <w:bookmarkEnd w:id="0"/>
      <w:r w:rsidRPr="00EC4209">
        <w:rPr>
          <w:b/>
          <w:sz w:val="22"/>
          <w:szCs w:val="22"/>
          <w:u w:val="single"/>
        </w:rPr>
        <w:t>DEL PERFIL TIPICO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  <w:r w:rsidRPr="00EC4209">
        <w:rPr>
          <w:b/>
          <w:sz w:val="22"/>
          <w:szCs w:val="22"/>
          <w:u w:val="single"/>
        </w:rPr>
        <w:t>Serie La Susana</w:t>
      </w:r>
    </w:p>
    <w:p w:rsidR="00EC4209" w:rsidRPr="00EC4209" w:rsidRDefault="00EC4209" w:rsidP="00EC4209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1241"/>
        <w:gridCol w:w="708"/>
        <w:gridCol w:w="1004"/>
        <w:gridCol w:w="1134"/>
        <w:gridCol w:w="1134"/>
        <w:gridCol w:w="1134"/>
      </w:tblGrid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b/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ER6-30C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N° de registro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4861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4862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4863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4864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4865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Horizonte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C4209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B3tca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Profundidad (cm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03-11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20-30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40-50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75-85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100-110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proofErr w:type="spellStart"/>
            <w:r w:rsidRPr="00EC4209">
              <w:rPr>
                <w:sz w:val="22"/>
                <w:szCs w:val="22"/>
              </w:rPr>
              <w:t>Mat.orgánica</w:t>
            </w:r>
            <w:proofErr w:type="spellEnd"/>
            <w:r w:rsidRPr="00EC4209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4.81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2.85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1.05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0.97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0.30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N (%)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0.208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0.131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0.055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0.052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0.017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13.5</w:t>
            </w:r>
          </w:p>
        </w:tc>
        <w:tc>
          <w:tcPr>
            <w:tcW w:w="100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12.7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11.1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11.0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10.0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T                           &lt;2 µ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30.25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38.86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44.18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44.11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43.18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 xml:space="preserve">E                        2-20 </w:t>
            </w:r>
            <w:r w:rsidRPr="00EC4209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28.17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25.60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24.06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23.18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24.00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 xml:space="preserve">X                       2-50 </w:t>
            </w:r>
            <w:r w:rsidRPr="00EC4209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67.92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55.68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54.12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54.56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55.57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 xml:space="preserve">T                   50-100 </w:t>
            </w:r>
            <w:r w:rsidRPr="00EC4209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0.24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0.28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0.52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0.35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0.32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 xml:space="preserve">U                 100 500 </w:t>
            </w:r>
            <w:r w:rsidRPr="00EC4209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1.57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1.17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1.16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0.96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0.91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 xml:space="preserve">R               500-1000 </w:t>
            </w:r>
            <w:r w:rsidRPr="00EC4209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0.02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0.02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 xml:space="preserve">A             1000-2000 </w:t>
            </w:r>
            <w:r w:rsidRPr="00EC4209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0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0.00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4.65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2.71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6.5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7.8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EC4209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5.9</w:t>
            </w:r>
          </w:p>
        </w:tc>
        <w:tc>
          <w:tcPr>
            <w:tcW w:w="100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6.0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6.8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  <w:tcBorders>
              <w:bottom w:val="single" w:sz="4" w:space="0" w:color="auto"/>
            </w:tcBorders>
          </w:tcPr>
          <w:p w:rsidR="00EC4209" w:rsidRPr="00EC4209" w:rsidRDefault="00EC4209" w:rsidP="00EC4209">
            <w:pPr>
              <w:rPr>
                <w:sz w:val="22"/>
                <w:szCs w:val="22"/>
                <w:lang w:val="es-ES_tradnl"/>
              </w:rPr>
            </w:pPr>
          </w:p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EC4209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EC4209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0.224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0.293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0.290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0.243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0.241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c>
          <w:tcPr>
            <w:tcW w:w="2611" w:type="dxa"/>
            <w:gridSpan w:val="3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Capacidad de intercambio catiónico (</w:t>
            </w:r>
            <w:proofErr w:type="spellStart"/>
            <w:r w:rsidRPr="00EC4209">
              <w:rPr>
                <w:sz w:val="22"/>
                <w:szCs w:val="22"/>
              </w:rPr>
              <w:t>m.e</w:t>
            </w:r>
            <w:proofErr w:type="spellEnd"/>
            <w:r w:rsidRPr="00EC4209">
              <w:rPr>
                <w:sz w:val="22"/>
                <w:szCs w:val="22"/>
              </w:rPr>
              <w:t>./100 g) =</w:t>
            </w:r>
          </w:p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valor 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31.12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38.42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46.28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46.93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44.10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d</w:t>
            </w: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Ca++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25.75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30.69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37.64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-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e</w:t>
            </w: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2.90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3.04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3.86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-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proofErr w:type="spellStart"/>
            <w:r w:rsidRPr="00EC420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K+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1.16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1.72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1.60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1.77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m</w:t>
            </w: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b</w:t>
            </w: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proofErr w:type="spellStart"/>
            <w:r w:rsidRPr="00EC4209">
              <w:rPr>
                <w:sz w:val="22"/>
                <w:szCs w:val="22"/>
              </w:rPr>
              <w:t>Na</w:t>
            </w:r>
            <w:proofErr w:type="spellEnd"/>
            <w:r w:rsidRPr="00EC4209">
              <w:rPr>
                <w:sz w:val="22"/>
                <w:szCs w:val="22"/>
              </w:rPr>
              <w:t>+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1.23</w:t>
            </w: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1.33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2.07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2.63</w:t>
            </w: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2.80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proofErr w:type="spellStart"/>
            <w:r w:rsidRPr="00EC420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  <w:lang w:val="en-US"/>
              </w:rPr>
            </w:pPr>
            <w:r w:rsidRPr="00EC4209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o</w:t>
            </w:r>
          </w:p>
        </w:tc>
        <w:tc>
          <w:tcPr>
            <w:tcW w:w="1241" w:type="dxa"/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H+</w:t>
            </w:r>
          </w:p>
        </w:tc>
        <w:tc>
          <w:tcPr>
            <w:tcW w:w="708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1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 xml:space="preserve">% </w:t>
            </w:r>
            <w:proofErr w:type="spellStart"/>
            <w:r w:rsidRPr="00EC4209">
              <w:rPr>
                <w:sz w:val="22"/>
                <w:szCs w:val="22"/>
              </w:rPr>
              <w:t>Na</w:t>
            </w:r>
            <w:proofErr w:type="spellEnd"/>
            <w:r w:rsidRPr="00EC4209">
              <w:rPr>
                <w:sz w:val="22"/>
                <w:szCs w:val="22"/>
              </w:rPr>
              <w:t xml:space="preserve">/T 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3.95</w:t>
            </w:r>
          </w:p>
        </w:tc>
        <w:tc>
          <w:tcPr>
            <w:tcW w:w="1004" w:type="dxa"/>
            <w:tcBorders>
              <w:top w:val="single" w:sz="12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3.46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4.47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5.60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6.35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33.43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40.93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46.59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43.94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42.19</w:t>
            </w:r>
          </w:p>
        </w:tc>
      </w:tr>
      <w:tr w:rsidR="00EC4209" w:rsidRPr="00EC4209" w:rsidTr="00EC42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1" w:type="dxa"/>
            <w:gridSpan w:val="3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P asimilable (ppm)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10.35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8.71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5.46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4.93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</w:p>
          <w:p w:rsidR="00EC4209" w:rsidRPr="00EC4209" w:rsidRDefault="00EC4209" w:rsidP="00EC4209">
            <w:pPr>
              <w:jc w:val="center"/>
              <w:rPr>
                <w:sz w:val="22"/>
                <w:szCs w:val="22"/>
              </w:rPr>
            </w:pPr>
            <w:r w:rsidRPr="00EC4209">
              <w:rPr>
                <w:sz w:val="22"/>
                <w:szCs w:val="22"/>
              </w:rPr>
              <w:t>3.71</w:t>
            </w:r>
          </w:p>
        </w:tc>
      </w:tr>
    </w:tbl>
    <w:p w:rsidR="00634151" w:rsidRPr="00EC4209" w:rsidRDefault="00634151" w:rsidP="00EC4209">
      <w:pPr>
        <w:rPr>
          <w:sz w:val="22"/>
          <w:szCs w:val="22"/>
        </w:rPr>
      </w:pPr>
    </w:p>
    <w:sectPr w:rsidR="00634151" w:rsidRPr="00EC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09"/>
    <w:rsid w:val="00634151"/>
    <w:rsid w:val="00EC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C420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C420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EC4209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EC420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C420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C420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EC4209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EC420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761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2014-02-07T12:38:00Z</dcterms:created>
  <dcterms:modified xsi:type="dcterms:W3CDTF">2014-02-07T12:40:00Z</dcterms:modified>
</cp:coreProperties>
</file>