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D3" w:rsidRPr="00CD29D3" w:rsidRDefault="00CD29D3" w:rsidP="00CD29D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CD29D3">
        <w:rPr>
          <w:b/>
          <w:szCs w:val="24"/>
        </w:rPr>
        <w:t xml:space="preserve">SERIE </w:t>
      </w:r>
      <w:r w:rsidRPr="00CD29D3">
        <w:rPr>
          <w:b/>
          <w:bCs/>
          <w:szCs w:val="24"/>
          <w:lang w:val="es-ES_tradnl"/>
        </w:rPr>
        <w:t>LA YUNTA</w:t>
      </w:r>
      <w:r w:rsidRPr="00CD29D3">
        <w:rPr>
          <w:szCs w:val="24"/>
        </w:rPr>
        <w:t xml:space="preserve">                                                                                          Símbolo: </w:t>
      </w:r>
      <w:proofErr w:type="spellStart"/>
      <w:r w:rsidRPr="00CD29D3">
        <w:rPr>
          <w:b/>
          <w:szCs w:val="24"/>
        </w:rPr>
        <w:t>LYu</w:t>
      </w:r>
      <w:proofErr w:type="spellEnd"/>
    </w:p>
    <w:p w:rsid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CD29D3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CD29D3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. Son suelos moderadamente bien drenados, con un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muy oscuro, franco-limoso, y un horizonte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, oscuro, arcillo-limoso, con caras de fricción ("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") moderadamente intersectadas y grietas desde los 70-80 cm hasta la base del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.</w:t>
      </w:r>
      <w:r w:rsidRPr="00CD29D3">
        <w:rPr>
          <w:rFonts w:ascii="Times New Roman" w:hAnsi="Times New Roman"/>
          <w:sz w:val="22"/>
          <w:szCs w:val="22"/>
          <w:lang w:val="es-ES_tradnl"/>
        </w:rPr>
        <w:tab/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 xml:space="preserve">Suelos desarrollados en materiales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loesssoides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CD29D3">
        <w:rPr>
          <w:rFonts w:ascii="Times New Roman" w:hAnsi="Times New Roman"/>
          <w:sz w:val="22"/>
          <w:szCs w:val="22"/>
          <w:lang w:val="es-ES_tradnl"/>
        </w:rPr>
        <w:t xml:space="preserve"> ER7-70C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CD29D3">
        <w:rPr>
          <w:rFonts w:ascii="Times New Roman" w:hAnsi="Times New Roman"/>
          <w:sz w:val="22"/>
          <w:szCs w:val="22"/>
          <w:lang w:val="es-ES_tradnl"/>
        </w:rPr>
        <w:t xml:space="preserve"> 5-VI-1990.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CD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Doll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(foto 432-76) - Dpto. Diamante.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CD29D3">
        <w:rPr>
          <w:rFonts w:ascii="Times New Roman" w:hAnsi="Times New Roman"/>
          <w:sz w:val="22"/>
          <w:szCs w:val="22"/>
          <w:lang w:val="es-ES_tradnl"/>
        </w:rPr>
        <w:t xml:space="preserve"> L.O. López; A.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Etcheves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.</w:t>
      </w:r>
    </w:p>
    <w:p w:rsid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CD29D3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D29D3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23 cm; gris muy oscuro a negro (10YR 2.5/1)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, medios, moderados; duro en seco; friable en húmedo; barnices 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", muy abundantes, medios; moteados de hierro comunes, finos y precisos; límite abrupto, suave.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CD29D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D29D3">
        <w:rPr>
          <w:rFonts w:ascii="Times New Roman" w:hAnsi="Times New Roman"/>
          <w:sz w:val="22"/>
          <w:szCs w:val="22"/>
          <w:lang w:val="es-ES_tradnl"/>
        </w:rPr>
        <w:t>23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42 cm; pardo muy oscuro a pardo grisáceo muy oscuro (10YR 3.5/2)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limoso; estructura en prismas compuestos irregulares, medios, moderados, que rompen en prismas compuestos irregulares y bloques angulares irregulares, medios, débiles; duro en seco; friable en húmedo; barnices 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", abundantes, medios; caras de fricción ("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") escasas, gruesas, no intersectadas; moteados de hierro-manganeso comunes, precisos y medios; grietas rellenas de material de horizontes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suprayacentes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; límite gradual, ondulado.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CD29D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D29D3">
        <w:rPr>
          <w:rFonts w:ascii="Times New Roman" w:hAnsi="Times New Roman"/>
          <w:sz w:val="22"/>
          <w:szCs w:val="22"/>
          <w:lang w:val="es-ES_tradnl"/>
        </w:rPr>
        <w:t>42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70 cm; pardo oscuro (7.5YR 3.5/2)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limoso; estructura en prismas compuestos irregulares, medios, débiles, que rompen en bloques angulares irregulares y bloques cuneiformes, medios, moderados; muy duro en seco; friable en húmedo; barnices 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", abundantes, medios; caras de fricción ("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") abundantes, finas, intersectadas; moteados de hierro escasos, finos y débiles; grietas rellenas por material superior; límite difuso, irregular.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lang w:val="es-ES_tradnl"/>
        </w:rPr>
        <w:t>B23t</w:t>
      </w:r>
      <w:r w:rsidRPr="00CD29D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D29D3">
        <w:rPr>
          <w:rFonts w:ascii="Times New Roman" w:hAnsi="Times New Roman"/>
          <w:sz w:val="22"/>
          <w:szCs w:val="22"/>
          <w:lang w:val="es-ES_tradnl"/>
        </w:rPr>
        <w:t>70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87 cm; pardo a pardo oscuro (7.5YR 4/2)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limoso; estructura en prismas compuestos irregulares, medios, moderados, que rompen en prismas compuestos irregulares, finos, moderados; friable en húmedo; barnices 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", abundantes, medios a gruesos; caras de fricción ("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") abundantes, gruesas, no intersectadas; moteados de hierro y manganeso comunes, finos y precisos; límite claro, suave.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lang w:val="es-ES_tradnl"/>
        </w:rPr>
        <w:t>B3ca</w:t>
      </w:r>
      <w:r w:rsidRPr="00CD29D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D29D3">
        <w:rPr>
          <w:rFonts w:ascii="Times New Roman" w:hAnsi="Times New Roman"/>
          <w:sz w:val="22"/>
          <w:szCs w:val="22"/>
          <w:lang w:val="es-ES_tradnl"/>
        </w:rPr>
        <w:t>87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108 cm; pardo claro (7.5YR 6/4)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irregulares, medios, débiles, que rompen en bloques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friable en húmedo; barnices 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", escasos a abundantes, finos; caras de fricción ("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") escasas, finas, algunas intersectadas; moteados de hierro y manganeso comunes, finos y precisos; abundante cantidad de carbonatos libres en la masa; concreciones calcáreas escasas.</w:t>
      </w:r>
    </w:p>
    <w:p w:rsidR="00CD29D3" w:rsidRPr="00CD29D3" w:rsidRDefault="00CD29D3" w:rsidP="00CD29D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CD29D3">
        <w:rPr>
          <w:rFonts w:ascii="Times New Roman" w:hAnsi="Times New Roman"/>
          <w:b/>
          <w:sz w:val="22"/>
          <w:szCs w:val="22"/>
          <w:lang w:val="es-ES_tradnl"/>
        </w:rPr>
        <w:lastRenderedPageBreak/>
        <w:t>Cca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D29D3">
        <w:rPr>
          <w:rFonts w:ascii="Times New Roman" w:hAnsi="Times New Roman"/>
          <w:sz w:val="22"/>
          <w:szCs w:val="22"/>
          <w:lang w:val="es-ES_tradnl"/>
        </w:rPr>
        <w:t>108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130 cm; pardo (7.5YR 5/4)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 xml:space="preserve">limoso; estructura masiva; muy friable en húmedo; moteados de hierro y manganeso escasos, finos y débiles; escasas cantidad de carbonatos libres en la masa; concreciones calcáreas escasas; presencia de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krotovinas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CD29D3">
        <w:rPr>
          <w:rFonts w:ascii="Times New Roman" w:hAnsi="Times New Roman"/>
          <w:b/>
          <w:sz w:val="22"/>
          <w:szCs w:val="22"/>
          <w:lang w:val="es-ES_tradnl"/>
        </w:rPr>
        <w:t>IICca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D29D3">
        <w:rPr>
          <w:rFonts w:ascii="Times New Roman" w:hAnsi="Times New Roman"/>
          <w:sz w:val="22"/>
          <w:szCs w:val="22"/>
          <w:lang w:val="es-ES_tradnl"/>
        </w:rPr>
        <w:t>130 + cm; pardo a pardo fuerte (7.5YR 5/4.5)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D29D3">
        <w:rPr>
          <w:rFonts w:ascii="Times New Roman" w:hAnsi="Times New Roman"/>
          <w:sz w:val="22"/>
          <w:szCs w:val="22"/>
          <w:lang w:val="es-ES_tradnl"/>
        </w:rPr>
        <w:t>limoso; estructura masiva; muy friable en húmedo; moteados de hierro-manganeso escasos, finos y débiles; abundante cantidad de carbonatos libres en la masa; concreciones calcáreas escasas.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varía entre 70-110 cm de profundidad. El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, de 15-30 cm, incluye una secuencia de horizontes A1+B1 o A1+A3. Su textura varía de franco-limosa a franco-arcillo-limosa (26-32 % de arcilla).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, de estructura prismática que rompe en bloques angulares y algunos bloques cuneiformes, tiene un espesor entre 55-65 cm y entre 40-48 % de arcilla. Las caras de fricción ("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"), poco intersectadas, se suelen encontrar aún en el horizonte B3ca. Un 30 % del horizonte se agrieta moderadamente, y es común encontrar raíces aplastadas en las caras de los agregados.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 xml:space="preserve">El calcáreo, libre en la masa y en concreciones, aparece a partir de los 70-95 cm. En algunos perfiles (como en el caso del perfil modal) se han encontrado discontinuidades en los materiales madres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por intercalación de sedimentos de loess "típico". La génesis de esta alternancia de sedimentos eólicos es extraña y su interpretación actual resulta difícil (probablemente ella está relacionada con un proceso más antiguo y más dinámico en la deposición y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retransporte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local del paquete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loéssico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).</w:t>
      </w:r>
    </w:p>
    <w:p w:rsid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>Moderadamente</w:t>
      </w:r>
      <w:r w:rsidRPr="00CD29D3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 </w:t>
      </w:r>
      <w:r w:rsidRPr="00CD29D3">
        <w:rPr>
          <w:rFonts w:ascii="Times New Roman" w:hAnsi="Times New Roman"/>
          <w:sz w:val="22"/>
          <w:szCs w:val="22"/>
          <w:lang w:val="es-ES_tradnl"/>
        </w:rPr>
        <w:t>erosionada (símbolo: LYu.h2)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>Anegadiza (símbolo: LYu.w2)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 xml:space="preserve">Se parece a la Serie Costa Grande pero ésta está desarrollada sobre loess "típico", tiene un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más profundo y un B2 menos arcilloso, sin características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vérticas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>; además, está desarrollada sobre un paisaje distinto.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>Moderadamente bien drenado; escurrimiento superficial moderado y, a veces, algo lento (fase anegadiza). Permeabilidad moderadamente lenta. Napa freática profunda. Grupo hidrológico C.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Erosión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>La Serie La Yunta tiene una erosión actual ligera a moderada, principalmente laminar y en pequeños surcos, y tiene moderado a severo peligro a una erosión mayor en surcos y algunas cárcavas.</w:t>
      </w: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D29D3">
        <w:rPr>
          <w:rFonts w:ascii="Times New Roman" w:hAnsi="Times New Roman"/>
          <w:sz w:val="22"/>
          <w:szCs w:val="22"/>
          <w:lang w:val="es-ES_tradnl"/>
        </w:rPr>
        <w:t xml:space="preserve">La fase moderadamente erosionada tiene un severo peligro a la erosión en surcos y cárcavas profundas, y presenta perfiles someros, con un </w:t>
      </w:r>
      <w:proofErr w:type="spellStart"/>
      <w:r w:rsidRPr="00CD29D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CD29D3">
        <w:rPr>
          <w:rFonts w:ascii="Times New Roman" w:hAnsi="Times New Roman"/>
          <w:sz w:val="22"/>
          <w:szCs w:val="22"/>
          <w:lang w:val="es-ES_tradnl"/>
        </w:rPr>
        <w:t xml:space="preserve"> de 7-10 cm y grietas que alcanzan la superficie.</w:t>
      </w:r>
    </w:p>
    <w:p w:rsidR="00CD29D3" w:rsidRPr="00CD29D3" w:rsidRDefault="00CD29D3" w:rsidP="00CD29D3">
      <w:pPr>
        <w:tabs>
          <w:tab w:val="center" w:pos="4535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lang w:val="es-ES_tradnl"/>
        </w:rPr>
        <w:tab/>
      </w:r>
    </w:p>
    <w:p w:rsidR="00CD29D3" w:rsidRPr="00CD29D3" w:rsidRDefault="00CD29D3" w:rsidP="00CD29D3">
      <w:pPr>
        <w:tabs>
          <w:tab w:val="center" w:pos="4535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lang w:val="es-ES_tradnl"/>
        </w:rPr>
        <w:br w:type="page"/>
      </w:r>
    </w:p>
    <w:p w:rsidR="00CD29D3" w:rsidRPr="00CD29D3" w:rsidRDefault="00CD29D3" w:rsidP="00CD29D3">
      <w:pPr>
        <w:tabs>
          <w:tab w:val="center" w:pos="4535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CD29D3" w:rsidRP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CD29D3" w:rsidRP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CD29D3">
        <w:rPr>
          <w:rFonts w:ascii="Times New Roman" w:hAnsi="Times New Roman"/>
          <w:b/>
          <w:sz w:val="22"/>
          <w:szCs w:val="22"/>
          <w:u w:val="single"/>
          <w:lang w:val="es-ES_tradnl"/>
        </w:rPr>
        <w:t>Serie La Yunta</w:t>
      </w:r>
    </w:p>
    <w:p w:rsidR="00CD29D3" w:rsidRPr="00CD29D3" w:rsidRDefault="00CD29D3" w:rsidP="00CD29D3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  <w:gridCol w:w="1033"/>
        <w:gridCol w:w="1033"/>
      </w:tblGrid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ER7-70C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5.218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5.219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5.220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5.221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5.222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5.223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5.224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B22t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B23t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B3ca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D29D3">
              <w:rPr>
                <w:rFonts w:ascii="Times New Roman" w:hAnsi="Times New Roman"/>
                <w:sz w:val="22"/>
                <w:szCs w:val="22"/>
              </w:rPr>
              <w:t>Cca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D29D3">
              <w:rPr>
                <w:rFonts w:ascii="Times New Roman" w:hAnsi="Times New Roman"/>
                <w:sz w:val="22"/>
                <w:szCs w:val="22"/>
              </w:rPr>
              <w:t>IICca</w:t>
            </w:r>
            <w:proofErr w:type="spellEnd"/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06-16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25-38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52-64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75-85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95-107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110-124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142+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5.16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1.65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1.15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0.45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0.15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 xml:space="preserve">T  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CD29D3">
              <w:rPr>
                <w:rFonts w:ascii="Times New Roman" w:hAnsi="Times New Roman"/>
                <w:sz w:val="22"/>
                <w:szCs w:val="22"/>
              </w:rPr>
              <w:t xml:space="preserve"> 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26.59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47.21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42.73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41.66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34.28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31.11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28.78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2-20 </w:t>
            </w:r>
            <w:r w:rsidRPr="00CD29D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31.74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22.33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23.82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23.26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23.66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27.02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22.89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2-50 </w:t>
            </w:r>
            <w:r w:rsidRPr="00CD29D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68.07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48.49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53.04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53.71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60.22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63.10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66.38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CD29D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4.93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4.07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4.00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4.34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5.51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4.57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100-500 </w:t>
            </w:r>
            <w:r w:rsidRPr="00CD29D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0.23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0.25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bookmarkStart w:id="0" w:name="_GoBack"/>
            <w:bookmarkEnd w:id="0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CD29D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0.2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4.7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2.9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13.3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7.0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8.1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8.4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8.3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8.4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CD29D3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CD29D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Capacidad  de intercambio</w:t>
            </w:r>
          </w:p>
          <w:p w:rsidR="00CD29D3" w:rsidRPr="00CD29D3" w:rsidRDefault="00CD29D3" w:rsidP="00CD29D3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28.90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38.60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36.20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33.70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31.50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22.50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31.40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29.90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27.40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28.50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2.30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3.50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2.80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2.70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1.50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D29D3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0.92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0.78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0.79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0.51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0.48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0.50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0.59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0.59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0.46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0.55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0.92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D29D3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1.35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D29D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CD29D3" w:rsidRPr="00CD29D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29.09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43.43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39.37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36.32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32.37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31.08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D29D3" w:rsidRPr="00CD29D3" w:rsidRDefault="00CD29D3" w:rsidP="00CD29D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D29D3">
              <w:rPr>
                <w:rFonts w:ascii="Times New Roman" w:hAnsi="Times New Roman"/>
                <w:sz w:val="22"/>
                <w:szCs w:val="22"/>
                <w:lang w:val="es-ES_tradnl"/>
              </w:rPr>
              <w:t>32.37</w:t>
            </w:r>
          </w:p>
        </w:tc>
      </w:tr>
    </w:tbl>
    <w:p w:rsidR="00CD29D3" w:rsidRPr="00CD29D3" w:rsidRDefault="00CD29D3" w:rsidP="00CD29D3">
      <w:pPr>
        <w:jc w:val="center"/>
        <w:rPr>
          <w:rFonts w:ascii="Times New Roman" w:hAnsi="Times New Roman"/>
          <w:sz w:val="22"/>
          <w:szCs w:val="22"/>
          <w:lang w:val="es-ES_tradnl"/>
        </w:rPr>
      </w:pPr>
    </w:p>
    <w:p w:rsidR="00610974" w:rsidRPr="00CD29D3" w:rsidRDefault="00610974" w:rsidP="00CD29D3">
      <w:pPr>
        <w:rPr>
          <w:rFonts w:ascii="Times New Roman" w:hAnsi="Times New Roman"/>
          <w:sz w:val="22"/>
          <w:szCs w:val="22"/>
        </w:rPr>
      </w:pPr>
    </w:p>
    <w:sectPr w:rsidR="00610974" w:rsidRPr="00CD29D3" w:rsidSect="00CD29D3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D3"/>
    <w:rsid w:val="00610974"/>
    <w:rsid w:val="00C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D3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D29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D29D3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CD29D3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D29D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D3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D29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D29D3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CD29D3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D29D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1062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2014-02-10T14:31:00Z</dcterms:created>
  <dcterms:modified xsi:type="dcterms:W3CDTF">2014-02-10T14:36:00Z</dcterms:modified>
</cp:coreProperties>
</file>