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11" w:rsidRPr="00E42F11" w:rsidRDefault="00E42F11" w:rsidP="00E42F11">
      <w:pPr>
        <w:jc w:val="both"/>
        <w:rPr>
          <w:sz w:val="22"/>
          <w:szCs w:val="22"/>
          <w:lang w:val="es-ES_tradnl"/>
        </w:rPr>
      </w:pPr>
    </w:p>
    <w:p w:rsidR="00E42F11" w:rsidRPr="00E42F11" w:rsidRDefault="00E42F11" w:rsidP="00E42F11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E42F11">
        <w:rPr>
          <w:b/>
          <w:szCs w:val="24"/>
        </w:rPr>
        <w:t xml:space="preserve">SERIE LOS AMIGOS                                                                                       </w:t>
      </w:r>
      <w:r w:rsidRPr="00E42F11">
        <w:rPr>
          <w:szCs w:val="24"/>
        </w:rPr>
        <w:t>Símbolo:</w:t>
      </w:r>
      <w:r w:rsidRPr="00E42F11">
        <w:rPr>
          <w:b/>
          <w:szCs w:val="24"/>
        </w:rPr>
        <w:t xml:space="preserve"> LA</w:t>
      </w:r>
    </w:p>
    <w:p w:rsidR="00E42F11" w:rsidRPr="00E42F11" w:rsidRDefault="00E42F11" w:rsidP="00E42F11">
      <w:pPr>
        <w:pStyle w:val="Textoindependiente"/>
        <w:rPr>
          <w:sz w:val="22"/>
          <w:szCs w:val="22"/>
        </w:rPr>
      </w:pPr>
    </w:p>
    <w:p w:rsidR="00E42F11" w:rsidRPr="00E42F11" w:rsidRDefault="00E42F11" w:rsidP="00E42F11">
      <w:pPr>
        <w:pStyle w:val="Textoindependiente"/>
        <w:rPr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  <w:r w:rsidRPr="00E42F11">
        <w:rPr>
          <w:color w:val="000000"/>
          <w:sz w:val="22"/>
          <w:szCs w:val="22"/>
        </w:rPr>
        <w:t xml:space="preserve">Pertenece a la familia "fina, </w:t>
      </w:r>
      <w:r w:rsidRPr="00E42F11">
        <w:rPr>
          <w:sz w:val="22"/>
          <w:szCs w:val="22"/>
        </w:rPr>
        <w:t>mixta</w:t>
      </w:r>
      <w:r w:rsidRPr="00E42F11">
        <w:rPr>
          <w:color w:val="000000"/>
          <w:sz w:val="22"/>
          <w:szCs w:val="22"/>
        </w:rPr>
        <w:t xml:space="preserve">, térmica" de los </w:t>
      </w:r>
      <w:proofErr w:type="spellStart"/>
      <w:r w:rsidRPr="00E42F11">
        <w:rPr>
          <w:color w:val="000000"/>
          <w:sz w:val="22"/>
          <w:szCs w:val="22"/>
          <w:u w:val="single"/>
        </w:rPr>
        <w:t>Hapludoles</w:t>
      </w:r>
      <w:proofErr w:type="spellEnd"/>
      <w:r w:rsidRPr="00E42F11">
        <w:rPr>
          <w:color w:val="000000"/>
          <w:sz w:val="22"/>
          <w:szCs w:val="22"/>
          <w:u w:val="single"/>
        </w:rPr>
        <w:t xml:space="preserve"> </w:t>
      </w:r>
      <w:proofErr w:type="spellStart"/>
      <w:r w:rsidRPr="00E42F11">
        <w:rPr>
          <w:color w:val="000000"/>
          <w:sz w:val="22"/>
          <w:szCs w:val="22"/>
          <w:u w:val="single"/>
        </w:rPr>
        <w:t>ácuicos</w:t>
      </w:r>
      <w:proofErr w:type="spellEnd"/>
      <w:r w:rsidRPr="00E42F11">
        <w:rPr>
          <w:color w:val="000000"/>
          <w:sz w:val="22"/>
          <w:szCs w:val="22"/>
        </w:rPr>
        <w:t>.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  <w:r w:rsidRPr="00E42F11">
        <w:rPr>
          <w:color w:val="000000"/>
          <w:sz w:val="22"/>
          <w:szCs w:val="22"/>
        </w:rPr>
        <w:t>Son suelos ligeramente alcalinos y fuertemente salinos, desarrollados en materiales de capas arcillo-arenosas y arcillosas y ubicadas en antiguos canales de marea excavados por el mar – pleistoceno.</w:t>
      </w:r>
      <w:r w:rsidRPr="00E42F11">
        <w:rPr>
          <w:color w:val="FF6600"/>
          <w:sz w:val="22"/>
          <w:szCs w:val="22"/>
        </w:rPr>
        <w:t xml:space="preserve"> </w:t>
      </w: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outlineLvl w:val="0"/>
        <w:rPr>
          <w:sz w:val="22"/>
          <w:szCs w:val="22"/>
        </w:rPr>
      </w:pPr>
      <w:r w:rsidRPr="00E42F11">
        <w:rPr>
          <w:b/>
          <w:sz w:val="22"/>
          <w:szCs w:val="22"/>
        </w:rPr>
        <w:t>Perfil tipo</w:t>
      </w:r>
      <w:r w:rsidRPr="00E42F11">
        <w:rPr>
          <w:sz w:val="22"/>
          <w:szCs w:val="22"/>
        </w:rPr>
        <w:t>: PDE-C-384  INTA Castelar</w:t>
      </w: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  <w:r w:rsidRPr="00E42F11">
        <w:rPr>
          <w:b/>
          <w:sz w:val="22"/>
          <w:szCs w:val="22"/>
        </w:rPr>
        <w:t>Fecha</w:t>
      </w:r>
      <w:r w:rsidRPr="00E42F11">
        <w:rPr>
          <w:sz w:val="22"/>
          <w:szCs w:val="22"/>
        </w:rPr>
        <w:t>: XI-1976</w:t>
      </w: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  <w:r w:rsidRPr="00E42F11">
        <w:rPr>
          <w:b/>
          <w:sz w:val="22"/>
          <w:szCs w:val="22"/>
        </w:rPr>
        <w:t>Ubicación</w:t>
      </w:r>
      <w:r w:rsidRPr="00E42F11">
        <w:rPr>
          <w:sz w:val="22"/>
          <w:szCs w:val="22"/>
        </w:rPr>
        <w:t xml:space="preserve">: a </w:t>
      </w:r>
      <w:smartTag w:uri="urn:schemas-microsoft-com:office:smarttags" w:element="metricconverter">
        <w:smartTagPr>
          <w:attr w:name="ProductID" w:val="1,5 Km"/>
        </w:smartTagPr>
        <w:r w:rsidRPr="00E42F11">
          <w:rPr>
            <w:sz w:val="22"/>
            <w:szCs w:val="22"/>
          </w:rPr>
          <w:t>1,5 km</w:t>
        </w:r>
      </w:smartTag>
      <w:r w:rsidRPr="00E42F11">
        <w:rPr>
          <w:sz w:val="22"/>
          <w:szCs w:val="22"/>
        </w:rPr>
        <w:t xml:space="preserve"> al Oeste de la parada km 340 FCGU (Hoja IGM 3369-29-2)</w:t>
      </w:r>
      <w:r w:rsidRPr="00E42F11">
        <w:rPr>
          <w:color w:val="000000"/>
          <w:sz w:val="22"/>
          <w:szCs w:val="22"/>
        </w:rPr>
        <w:t xml:space="preserve"> – Dpto. Islas del Ibicuy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  <w:r w:rsidRPr="00E42F11">
        <w:rPr>
          <w:b/>
          <w:sz w:val="22"/>
          <w:szCs w:val="22"/>
        </w:rPr>
        <w:t>Reconocedores</w:t>
      </w:r>
      <w:r w:rsidRPr="00E42F11">
        <w:rPr>
          <w:color w:val="99CC00"/>
          <w:sz w:val="22"/>
          <w:szCs w:val="22"/>
        </w:rPr>
        <w:t>:</w:t>
      </w:r>
      <w:r w:rsidRPr="00E42F11">
        <w:rPr>
          <w:color w:val="000000"/>
          <w:sz w:val="22"/>
          <w:szCs w:val="22"/>
        </w:rPr>
        <w:t xml:space="preserve"> L. A. Gómez; V. </w:t>
      </w:r>
      <w:proofErr w:type="spellStart"/>
      <w:r w:rsidRPr="00E42F11">
        <w:rPr>
          <w:color w:val="000000"/>
          <w:sz w:val="22"/>
          <w:szCs w:val="22"/>
        </w:rPr>
        <w:t>Nakama</w:t>
      </w:r>
      <w:proofErr w:type="spellEnd"/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  <w:r w:rsidRPr="00E42F11">
        <w:rPr>
          <w:b/>
          <w:sz w:val="22"/>
          <w:szCs w:val="22"/>
        </w:rPr>
        <w:t>A11</w:t>
      </w:r>
      <w:r w:rsidRPr="00E42F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42F11">
        <w:rPr>
          <w:sz w:val="22"/>
          <w:szCs w:val="22"/>
        </w:rPr>
        <w:t>0</w:t>
      </w:r>
      <w:r>
        <w:rPr>
          <w:sz w:val="22"/>
          <w:szCs w:val="22"/>
        </w:rPr>
        <w:t>-</w:t>
      </w:r>
      <w:r w:rsidRPr="00E42F11">
        <w:rPr>
          <w:sz w:val="22"/>
          <w:szCs w:val="22"/>
        </w:rPr>
        <w:t>11 cm; pardo oscuro (10YR 3/3) en húmedo, pardo (10YR 5/3 en seco; franco limoso; laminar, fino, débil; friable, no plástico, no adhesivo; moteados comunes, precisos y finos; claro, suave.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sz w:val="22"/>
          <w:szCs w:val="22"/>
        </w:rPr>
      </w:pPr>
      <w:r w:rsidRPr="00E42F11">
        <w:rPr>
          <w:b/>
          <w:sz w:val="22"/>
          <w:szCs w:val="22"/>
        </w:rPr>
        <w:t>II</w:t>
      </w:r>
      <w:r w:rsidRPr="00E42F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42F11">
        <w:rPr>
          <w:sz w:val="22"/>
          <w:szCs w:val="22"/>
        </w:rPr>
        <w:t>11</w:t>
      </w:r>
      <w:r>
        <w:rPr>
          <w:sz w:val="22"/>
          <w:szCs w:val="22"/>
        </w:rPr>
        <w:t>-</w:t>
      </w:r>
      <w:r w:rsidRPr="00E42F11">
        <w:rPr>
          <w:sz w:val="22"/>
          <w:szCs w:val="22"/>
        </w:rPr>
        <w:t xml:space="preserve">48 cm; negro (10YR 2/1) en húmedo; arcillo limoso; bloques </w:t>
      </w:r>
      <w:proofErr w:type="spellStart"/>
      <w:r w:rsidRPr="00E42F11">
        <w:rPr>
          <w:sz w:val="22"/>
          <w:szCs w:val="22"/>
        </w:rPr>
        <w:t>subangulares</w:t>
      </w:r>
      <w:proofErr w:type="spellEnd"/>
      <w:r w:rsidRPr="00E42F11">
        <w:rPr>
          <w:sz w:val="22"/>
          <w:szCs w:val="22"/>
        </w:rPr>
        <w:t>, finos, moderados; firme, plástico y adhesivo, escasas concreciones de carbonato de calcio; escasos barnices de húmicos arcillosos; moteados escasos, débiles y finos; claro suave.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bCs/>
          <w:sz w:val="22"/>
          <w:szCs w:val="22"/>
        </w:rPr>
      </w:pPr>
      <w:r w:rsidRPr="00E42F11">
        <w:rPr>
          <w:b/>
          <w:sz w:val="22"/>
          <w:szCs w:val="22"/>
        </w:rPr>
        <w:t>III</w:t>
      </w:r>
      <w:r w:rsidRPr="00E42F11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E42F11">
        <w:rPr>
          <w:bCs/>
          <w:sz w:val="22"/>
          <w:szCs w:val="22"/>
        </w:rPr>
        <w:t>48-</w:t>
      </w:r>
      <w:smartTag w:uri="urn:schemas-microsoft-com:office:smarttags" w:element="metricconverter">
        <w:smartTagPr>
          <w:attr w:name="ProductID" w:val="76 cm"/>
        </w:smartTagPr>
        <w:r w:rsidRPr="00E42F11">
          <w:rPr>
            <w:bCs/>
            <w:sz w:val="22"/>
            <w:szCs w:val="22"/>
          </w:rPr>
          <w:t>76 cm</w:t>
        </w:r>
      </w:smartTag>
      <w:r w:rsidRPr="00E42F11">
        <w:rPr>
          <w:bCs/>
          <w:sz w:val="22"/>
          <w:szCs w:val="22"/>
        </w:rPr>
        <w:t xml:space="preserve">; pardo grisáceo (2,5YR 5/2) en húmedo; arcillo limoso; bloques </w:t>
      </w:r>
      <w:proofErr w:type="spellStart"/>
      <w:r w:rsidRPr="00E42F11">
        <w:rPr>
          <w:bCs/>
          <w:sz w:val="22"/>
          <w:szCs w:val="22"/>
        </w:rPr>
        <w:t>subangulares</w:t>
      </w:r>
      <w:proofErr w:type="spellEnd"/>
      <w:r w:rsidRPr="00E42F11">
        <w:rPr>
          <w:bCs/>
          <w:sz w:val="22"/>
          <w:szCs w:val="22"/>
        </w:rPr>
        <w:t xml:space="preserve">, medios, débiles; firme, plástico y adhesivo; escasa reacción de carbonatos libres; abundantes concreciones de hierro manganeso; escasas concreciones de carbonato de calcio; escasos barnices de arcilla </w:t>
      </w:r>
      <w:proofErr w:type="spellStart"/>
      <w:r w:rsidRPr="00E42F11">
        <w:rPr>
          <w:bCs/>
          <w:sz w:val="22"/>
          <w:szCs w:val="22"/>
        </w:rPr>
        <w:t>iluvial</w:t>
      </w:r>
      <w:proofErr w:type="spellEnd"/>
      <w:r w:rsidRPr="00E42F11">
        <w:rPr>
          <w:bCs/>
          <w:sz w:val="22"/>
          <w:szCs w:val="22"/>
        </w:rPr>
        <w:t>; moteados escasos, precisos y medios; claro, suave.</w:t>
      </w:r>
    </w:p>
    <w:p w:rsidR="00E42F11" w:rsidRPr="00E42F11" w:rsidRDefault="00E42F11" w:rsidP="00E42F11">
      <w:pPr>
        <w:pStyle w:val="Textoindependiente"/>
        <w:jc w:val="both"/>
        <w:rPr>
          <w:bCs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bCs/>
          <w:sz w:val="22"/>
          <w:szCs w:val="22"/>
        </w:rPr>
      </w:pPr>
      <w:r w:rsidRPr="00E42F11">
        <w:rPr>
          <w:b/>
          <w:sz w:val="22"/>
          <w:szCs w:val="22"/>
        </w:rPr>
        <w:t>IV:</w:t>
      </w:r>
      <w:r>
        <w:rPr>
          <w:b/>
          <w:sz w:val="22"/>
          <w:szCs w:val="22"/>
        </w:rPr>
        <w:t xml:space="preserve"> </w:t>
      </w:r>
      <w:r w:rsidRPr="00E42F11">
        <w:rPr>
          <w:bCs/>
          <w:sz w:val="22"/>
          <w:szCs w:val="22"/>
        </w:rPr>
        <w:t>76-</w:t>
      </w:r>
      <w:smartTag w:uri="urn:schemas-microsoft-com:office:smarttags" w:element="metricconverter">
        <w:smartTagPr>
          <w:attr w:name="ProductID" w:val="144 cm"/>
        </w:smartTagPr>
        <w:r w:rsidRPr="00E42F11">
          <w:rPr>
            <w:bCs/>
            <w:sz w:val="22"/>
            <w:szCs w:val="22"/>
          </w:rPr>
          <w:t>144 cm</w:t>
        </w:r>
      </w:smartTag>
      <w:r w:rsidRPr="00E42F11">
        <w:rPr>
          <w:bCs/>
          <w:sz w:val="22"/>
          <w:szCs w:val="22"/>
        </w:rPr>
        <w:t xml:space="preserve">; pardo grisáceo oscuro (2,5YR 4/2) en húmedo; arcilloso; bloques </w:t>
      </w:r>
      <w:proofErr w:type="spellStart"/>
      <w:r w:rsidRPr="00E42F11">
        <w:rPr>
          <w:bCs/>
          <w:sz w:val="22"/>
          <w:szCs w:val="22"/>
        </w:rPr>
        <w:t>subangulares</w:t>
      </w:r>
      <w:proofErr w:type="spellEnd"/>
      <w:r w:rsidRPr="00E42F11">
        <w:rPr>
          <w:bCs/>
          <w:sz w:val="22"/>
          <w:szCs w:val="22"/>
        </w:rPr>
        <w:t xml:space="preserve">, medios, moderados; firme, plástico y adhesivo; moderada reacción de carbonatos libres, escasas concreciones de hierro manganeso, escasas concreciones de carbonato de calcio; escasos barnices de arcilla </w:t>
      </w:r>
      <w:proofErr w:type="spellStart"/>
      <w:r w:rsidRPr="00E42F11">
        <w:rPr>
          <w:bCs/>
          <w:sz w:val="22"/>
          <w:szCs w:val="22"/>
        </w:rPr>
        <w:t>iluvial</w:t>
      </w:r>
      <w:proofErr w:type="spellEnd"/>
      <w:r w:rsidRPr="00E42F11">
        <w:rPr>
          <w:bCs/>
          <w:sz w:val="22"/>
          <w:szCs w:val="22"/>
        </w:rPr>
        <w:t>; moteados escasos, débiles y finos; gradual, ondulado.</w:t>
      </w:r>
    </w:p>
    <w:p w:rsidR="00E42F11" w:rsidRPr="00E42F11" w:rsidRDefault="00E42F11" w:rsidP="00E42F11">
      <w:pPr>
        <w:pStyle w:val="Textoindependiente"/>
        <w:jc w:val="both"/>
        <w:rPr>
          <w:bCs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bCs/>
          <w:sz w:val="22"/>
          <w:szCs w:val="22"/>
        </w:rPr>
      </w:pPr>
      <w:r w:rsidRPr="00E42F11">
        <w:rPr>
          <w:b/>
          <w:sz w:val="22"/>
          <w:szCs w:val="22"/>
        </w:rPr>
        <w:t>V</w:t>
      </w:r>
      <w:r w:rsidRPr="00E42F11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E42F11">
        <w:rPr>
          <w:bCs/>
          <w:sz w:val="22"/>
          <w:szCs w:val="22"/>
        </w:rPr>
        <w:t>144-</w:t>
      </w:r>
      <w:smartTag w:uri="urn:schemas-microsoft-com:office:smarttags" w:element="metricconverter">
        <w:smartTagPr>
          <w:attr w:name="ProductID" w:val="160 cm"/>
        </w:smartTagPr>
        <w:r w:rsidRPr="00E42F11">
          <w:rPr>
            <w:bCs/>
            <w:sz w:val="22"/>
            <w:szCs w:val="22"/>
          </w:rPr>
          <w:t>160 cm</w:t>
        </w:r>
      </w:smartTag>
      <w:r w:rsidRPr="00E42F11">
        <w:rPr>
          <w:bCs/>
          <w:sz w:val="22"/>
          <w:szCs w:val="22"/>
        </w:rPr>
        <w:t xml:space="preserve">; pardo firme (7,5YR 4/6) en húmedo; franco arcillo limoso; bloques </w:t>
      </w:r>
      <w:proofErr w:type="spellStart"/>
      <w:r w:rsidRPr="00E42F11">
        <w:rPr>
          <w:bCs/>
          <w:sz w:val="22"/>
          <w:szCs w:val="22"/>
        </w:rPr>
        <w:t>subangulares</w:t>
      </w:r>
      <w:proofErr w:type="spellEnd"/>
      <w:r w:rsidRPr="00E42F11">
        <w:rPr>
          <w:bCs/>
          <w:sz w:val="22"/>
          <w:szCs w:val="22"/>
        </w:rPr>
        <w:t xml:space="preserve"> medios, débiles; friable, ligeramente plástico, ligeramente adhesivo.</w:t>
      </w:r>
    </w:p>
    <w:p w:rsidR="00E42F11" w:rsidRDefault="00E42F11" w:rsidP="00E42F11">
      <w:pPr>
        <w:pStyle w:val="Textoindependiente"/>
        <w:ind w:hanging="720"/>
        <w:jc w:val="both"/>
        <w:rPr>
          <w:bCs/>
          <w:sz w:val="22"/>
          <w:szCs w:val="22"/>
        </w:rPr>
      </w:pPr>
    </w:p>
    <w:p w:rsidR="00E42F11" w:rsidRPr="00E42F11" w:rsidRDefault="00E42F11" w:rsidP="00E42F11">
      <w:pPr>
        <w:pStyle w:val="Textoindependiente"/>
        <w:ind w:hanging="720"/>
        <w:jc w:val="both"/>
        <w:rPr>
          <w:bCs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E42F11">
        <w:rPr>
          <w:b/>
          <w:color w:val="000000"/>
          <w:sz w:val="22"/>
          <w:szCs w:val="22"/>
          <w:u w:val="single"/>
        </w:rPr>
        <w:t>Variabilidad de rasgos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E42F11">
        <w:rPr>
          <w:color w:val="000000"/>
          <w:sz w:val="22"/>
          <w:szCs w:val="22"/>
        </w:rPr>
        <w:t>No se determinó.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E42F11" w:rsidRPr="00E42F11" w:rsidRDefault="00E42F11" w:rsidP="00E42F11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E42F11">
        <w:rPr>
          <w:b/>
          <w:color w:val="000000"/>
          <w:sz w:val="22"/>
          <w:szCs w:val="22"/>
          <w:u w:val="single"/>
        </w:rPr>
        <w:t>Fases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42F11">
        <w:rPr>
          <w:sz w:val="22"/>
          <w:szCs w:val="22"/>
        </w:rPr>
        <w:t>No presenta a escala 1:100.000.</w:t>
      </w:r>
    </w:p>
    <w:p w:rsid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E42F11">
        <w:rPr>
          <w:b/>
          <w:color w:val="000000"/>
          <w:sz w:val="22"/>
          <w:szCs w:val="22"/>
          <w:u w:val="single"/>
        </w:rPr>
        <w:lastRenderedPageBreak/>
        <w:t>Drenaje</w:t>
      </w:r>
    </w:p>
    <w:p w:rsidR="00E42F11" w:rsidRPr="00E42F11" w:rsidRDefault="00E42F11" w:rsidP="00E42F11">
      <w:pPr>
        <w:pStyle w:val="Textoindependiente"/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42F11">
        <w:rPr>
          <w:color w:val="000000"/>
          <w:sz w:val="22"/>
          <w:szCs w:val="22"/>
        </w:rPr>
        <w:t>Pobremente drenado. Escurrimiento superficial muy lento. Permeabilidad lenta.</w:t>
      </w:r>
      <w:r w:rsidRPr="00E42F11">
        <w:rPr>
          <w:color w:val="000000"/>
          <w:sz w:val="22"/>
          <w:szCs w:val="22"/>
        </w:rPr>
        <w:br w:type="page"/>
      </w:r>
    </w:p>
    <w:p w:rsidR="00E42F11" w:rsidRPr="00E42F11" w:rsidRDefault="00E42F11" w:rsidP="00E42F11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42F11">
        <w:rPr>
          <w:b/>
          <w:sz w:val="22"/>
          <w:szCs w:val="22"/>
          <w:u w:val="single"/>
        </w:rPr>
        <w:lastRenderedPageBreak/>
        <w:t>DATOS ANALITICOS DEL PERFIL TIPO</w:t>
      </w:r>
    </w:p>
    <w:p w:rsidR="00E42F11" w:rsidRPr="00E42F11" w:rsidRDefault="00E42F11" w:rsidP="00E42F11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E42F11" w:rsidRPr="00E42F11" w:rsidRDefault="00E42F11" w:rsidP="00E42F11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42F11">
        <w:rPr>
          <w:b/>
          <w:sz w:val="22"/>
          <w:szCs w:val="22"/>
          <w:u w:val="single"/>
        </w:rPr>
        <w:t>Serie Los Amigos</w:t>
      </w:r>
    </w:p>
    <w:p w:rsidR="00E42F11" w:rsidRPr="00E42F11" w:rsidRDefault="00E42F11" w:rsidP="00E42F11">
      <w:pPr>
        <w:pStyle w:val="Textoindependiente"/>
        <w:rPr>
          <w:color w:val="000000"/>
          <w:sz w:val="22"/>
          <w:szCs w:val="22"/>
        </w:rPr>
      </w:pPr>
    </w:p>
    <w:p w:rsidR="00E42F11" w:rsidRPr="00E42F11" w:rsidRDefault="00E42F11" w:rsidP="00E42F11">
      <w:pPr>
        <w:pStyle w:val="Textoindependiente"/>
        <w:rPr>
          <w:sz w:val="22"/>
          <w:szCs w:val="22"/>
        </w:rPr>
      </w:pPr>
      <w:r w:rsidRPr="00E42F11">
        <w:rPr>
          <w:color w:val="000000"/>
          <w:sz w:val="22"/>
          <w:szCs w:val="22"/>
        </w:rPr>
        <w:t>PDE-C-384 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1850"/>
        <w:gridCol w:w="1030"/>
        <w:gridCol w:w="1030"/>
        <w:gridCol w:w="1030"/>
        <w:gridCol w:w="1030"/>
        <w:gridCol w:w="1030"/>
      </w:tblGrid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21358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21359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21360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21361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21362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V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04-09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18-38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58-70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85-120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150-160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1.89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0.76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0.18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0.176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0.092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006" w:type="dxa"/>
            <w:gridSpan w:val="2"/>
            <w:tcBorders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11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8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E42F11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46.3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47.0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57.2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39.8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21.9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23.5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26.6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18.3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26.4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E42F11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53.2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46.5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50.1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34.3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46.2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E42F11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9.7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E42F11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5.6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1.4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42F11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E42F11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Vest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 (n)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42F11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42F11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E42F11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21.7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49.2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52.7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59.2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37.3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828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203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179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138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179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3.17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16.23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19.19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20.28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16.70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E42F11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E42F11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Ca</w:t>
            </w:r>
            <w:r w:rsidRPr="00E42F11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4.1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</w:rPr>
            </w:pPr>
            <w:r w:rsidRPr="00E42F11">
              <w:rPr>
                <w:color w:val="000000"/>
                <w:sz w:val="22"/>
                <w:szCs w:val="22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E42F11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42F11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E42F11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42F11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E42F11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45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78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62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E42F11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E42F11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10.1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pt-BR"/>
              </w:rPr>
            </w:pPr>
            <w:r w:rsidRPr="00E42F11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E42F11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42F11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pt-BR"/>
              </w:rPr>
            </w:pPr>
            <w:r w:rsidRPr="00E42F11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E42F11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42F11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E42F11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E42F11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E42F11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E42F11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E42F11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12.0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84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42F11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</w:tbl>
    <w:p w:rsidR="00E42F11" w:rsidRPr="00E42F11" w:rsidRDefault="00E42F11" w:rsidP="00E42F11">
      <w:pPr>
        <w:jc w:val="both"/>
        <w:rPr>
          <w:color w:val="000000"/>
          <w:sz w:val="22"/>
          <w:szCs w:val="22"/>
        </w:rPr>
      </w:pPr>
    </w:p>
    <w:p w:rsidR="00E42F11" w:rsidRPr="00E42F11" w:rsidRDefault="00E42F11" w:rsidP="00E42F11">
      <w:pPr>
        <w:rPr>
          <w:color w:val="000000"/>
          <w:sz w:val="22"/>
          <w:szCs w:val="22"/>
        </w:rPr>
      </w:pPr>
      <w:r w:rsidRPr="00E42F11">
        <w:rPr>
          <w:color w:val="000000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544"/>
        <w:gridCol w:w="1063"/>
        <w:gridCol w:w="1063"/>
        <w:gridCol w:w="1063"/>
        <w:gridCol w:w="1063"/>
      </w:tblGrid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pt-BR"/>
              </w:rPr>
            </w:pPr>
            <w:r w:rsidRPr="00E42F11">
              <w:rPr>
                <w:sz w:val="22"/>
                <w:szCs w:val="22"/>
                <w:lang w:val="pt-BR"/>
              </w:rPr>
              <w:lastRenderedPageBreak/>
              <w:t>Perfil Nº PDE C-3</w:t>
            </w:r>
            <w:r>
              <w:rPr>
                <w:sz w:val="22"/>
                <w:szCs w:val="22"/>
                <w:lang w:val="pt-BR"/>
              </w:rPr>
              <w:t xml:space="preserve">84 </w:t>
            </w:r>
            <w:bookmarkStart w:id="0" w:name="_GoBack"/>
            <w:bookmarkEnd w:id="0"/>
            <w:r w:rsidRPr="00E42F11">
              <w:rPr>
                <w:sz w:val="22"/>
                <w:szCs w:val="22"/>
                <w:lang w:val="pt-BR"/>
              </w:rPr>
              <w:t xml:space="preserve">INTA </w:t>
            </w:r>
            <w:proofErr w:type="spellStart"/>
            <w:r w:rsidRPr="00E42F11">
              <w:rPr>
                <w:sz w:val="22"/>
                <w:szCs w:val="22"/>
                <w:lang w:val="pt-BR"/>
              </w:rPr>
              <w:t>Castelar</w:t>
            </w:r>
            <w:proofErr w:type="spellEnd"/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V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21359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21360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21361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21362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Profundidad  (cm)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18-58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58-70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85-120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150-160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Ca CO</w:t>
            </w:r>
            <w:r w:rsidRPr="00E42F11">
              <w:rPr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E42F11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pH en H</w:t>
            </w:r>
            <w:r w:rsidRPr="00E42F11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E42F11">
              <w:rPr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42F11">
              <w:rPr>
                <w:sz w:val="22"/>
                <w:szCs w:val="22"/>
                <w:lang w:val="en-US"/>
              </w:rPr>
              <w:t>Cationes</w:t>
            </w:r>
            <w:proofErr w:type="spellEnd"/>
            <w:r w:rsidRPr="00E42F1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42F11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E42F11">
              <w:rPr>
                <w:sz w:val="22"/>
                <w:szCs w:val="22"/>
                <w:lang w:val="en-US"/>
              </w:rPr>
              <w:t>/I</w:t>
            </w:r>
          </w:p>
        </w:tc>
        <w:tc>
          <w:tcPr>
            <w:tcW w:w="2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5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42F11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E42F11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16.25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19.19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20.28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17.78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544" w:type="dxa"/>
            <w:tcBorders>
              <w:top w:val="nil"/>
              <w:bottom w:val="single" w:sz="4" w:space="0" w:color="auto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Ca</w:t>
            </w:r>
            <w:r w:rsidRPr="00E42F11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9.9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544" w:type="dxa"/>
            <w:tcBorders>
              <w:bottom w:val="nil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Mg</w:t>
            </w:r>
            <w:r w:rsidRPr="00E42F11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17.8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9.6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17.6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13.0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544" w:type="dxa"/>
            <w:tcBorders>
              <w:top w:val="nil"/>
              <w:bottom w:val="nil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E42F1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E42F11">
              <w:rPr>
                <w:sz w:val="22"/>
                <w:szCs w:val="22"/>
                <w:lang w:val="es-ES_tradnl"/>
              </w:rPr>
              <w:t xml:space="preserve"> </w:t>
            </w:r>
            <w:r w:rsidRPr="00E42F11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114.0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196.0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164.0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208.0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544" w:type="dxa"/>
            <w:tcBorders>
              <w:top w:val="nil"/>
              <w:bottom w:val="single" w:sz="4" w:space="0" w:color="auto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 xml:space="preserve">K </w:t>
            </w:r>
            <w:r w:rsidRPr="00E42F11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42F11">
              <w:rPr>
                <w:sz w:val="22"/>
                <w:szCs w:val="22"/>
                <w:lang w:val="en-US"/>
              </w:rPr>
              <w:t>Aniones</w:t>
            </w:r>
            <w:proofErr w:type="spellEnd"/>
            <w:r w:rsidRPr="00E42F1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42F11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E42F11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E42F1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544" w:type="dxa"/>
            <w:tcBorders>
              <w:bottom w:val="nil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CO</w:t>
            </w:r>
            <w:r w:rsidRPr="00E42F11">
              <w:rPr>
                <w:sz w:val="22"/>
                <w:szCs w:val="22"/>
                <w:vertAlign w:val="superscript"/>
                <w:lang w:val="es-ES_tradnl"/>
              </w:rPr>
              <w:t>-</w:t>
            </w:r>
            <w:r w:rsidRPr="00E42F11">
              <w:rPr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2544" w:type="dxa"/>
            <w:tcBorders>
              <w:top w:val="nil"/>
              <w:bottom w:val="nil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HCO</w:t>
            </w:r>
            <w:r w:rsidRPr="00E42F11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E42F11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  <w:tcBorders>
              <w:top w:val="nil"/>
              <w:bottom w:val="nil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SO</w:t>
            </w:r>
            <w:r w:rsidRPr="00E42F11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E42F11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2.5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4.0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4.0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>17.5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42F11" w:rsidRPr="00E42F11" w:rsidRDefault="00E42F11" w:rsidP="00E42F11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E42F11" w:rsidRPr="00E42F11" w:rsidRDefault="00E42F11" w:rsidP="00E42F11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  <w:tcBorders>
              <w:top w:val="nil"/>
            </w:tcBorders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n-US"/>
              </w:rPr>
            </w:pPr>
            <w:r w:rsidRPr="00E42F11">
              <w:rPr>
                <w:sz w:val="22"/>
                <w:szCs w:val="22"/>
                <w:lang w:val="en-US"/>
              </w:rPr>
              <w:t xml:space="preserve">Cl </w:t>
            </w:r>
            <w:r w:rsidRPr="00E42F11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134.0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152.0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168.0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146.0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pt-BR"/>
              </w:rPr>
            </w:pPr>
            <w:r w:rsidRPr="00E42F11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E42F11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E42F11">
              <w:rPr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E42F11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E42F11">
              <w:rPr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42F11" w:rsidRPr="00E42F11" w:rsidTr="00827F7C">
        <w:tblPrEx>
          <w:tblCellMar>
            <w:top w:w="0" w:type="dxa"/>
            <w:bottom w:w="0" w:type="dxa"/>
          </w:tblCellMar>
        </w:tblPrEx>
        <w:tc>
          <w:tcPr>
            <w:tcW w:w="4054" w:type="dxa"/>
            <w:gridSpan w:val="3"/>
          </w:tcPr>
          <w:p w:rsidR="00E42F11" w:rsidRPr="00E42F11" w:rsidRDefault="00E42F11" w:rsidP="00E42F11">
            <w:pPr>
              <w:jc w:val="both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Sodio cambiable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E42F11" w:rsidRPr="00E42F11" w:rsidRDefault="00E42F11" w:rsidP="00E42F11">
            <w:pPr>
              <w:jc w:val="center"/>
              <w:rPr>
                <w:sz w:val="22"/>
                <w:szCs w:val="22"/>
                <w:lang w:val="es-ES_tradnl"/>
              </w:rPr>
            </w:pPr>
            <w:r w:rsidRPr="00E42F11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8808C5" w:rsidRPr="00E42F11" w:rsidRDefault="008808C5" w:rsidP="00E42F11">
      <w:pPr>
        <w:rPr>
          <w:sz w:val="22"/>
          <w:szCs w:val="22"/>
        </w:rPr>
      </w:pPr>
    </w:p>
    <w:sectPr w:rsidR="008808C5" w:rsidRPr="00E42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11"/>
    <w:rsid w:val="008808C5"/>
    <w:rsid w:val="00E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42F11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42F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42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42F1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42F11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42F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42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42F1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646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2014-01-28T10:46:00Z</dcterms:created>
  <dcterms:modified xsi:type="dcterms:W3CDTF">2014-01-28T10:49:00Z</dcterms:modified>
</cp:coreProperties>
</file>