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658" w:rsidRPr="000D1658" w:rsidRDefault="000D1658" w:rsidP="000D1658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Cs w:val="24"/>
        </w:rPr>
      </w:pPr>
      <w:r w:rsidRPr="000D1658">
        <w:rPr>
          <w:b/>
          <w:szCs w:val="24"/>
        </w:rPr>
        <w:t xml:space="preserve">SERIE </w:t>
      </w:r>
      <w:r w:rsidRPr="000D1658">
        <w:rPr>
          <w:b/>
          <w:bCs/>
          <w:spacing w:val="-1"/>
          <w:szCs w:val="24"/>
          <w:lang w:val="es-ES_tradnl"/>
        </w:rPr>
        <w:t>MARIA LUISA</w:t>
      </w:r>
      <w:r w:rsidRPr="000D1658">
        <w:rPr>
          <w:szCs w:val="24"/>
        </w:rPr>
        <w:t xml:space="preserve">                                                                          </w:t>
      </w:r>
      <w:r>
        <w:rPr>
          <w:szCs w:val="24"/>
        </w:rPr>
        <w:t xml:space="preserve">     </w:t>
      </w:r>
      <w:r w:rsidRPr="000D1658">
        <w:rPr>
          <w:szCs w:val="24"/>
        </w:rPr>
        <w:t xml:space="preserve">Símbolo: </w:t>
      </w:r>
      <w:proofErr w:type="spellStart"/>
      <w:r w:rsidRPr="000D1658">
        <w:rPr>
          <w:b/>
          <w:bCs/>
          <w:spacing w:val="-1"/>
          <w:szCs w:val="24"/>
          <w:lang w:val="es-ES_tradnl"/>
        </w:rPr>
        <w:t>MaLu</w:t>
      </w:r>
      <w:proofErr w:type="spellEnd"/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right" w:pos="8956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0D1658">
        <w:rPr>
          <w:rFonts w:ascii="Times New Roman" w:hAnsi="Times New Roman" w:cs="Times New Roman"/>
          <w:spacing w:val="-1"/>
          <w:lang w:val="es-ES_tradnl"/>
        </w:rPr>
        <w:t xml:space="preserve">Pertenece a la familia "fina,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montmorillonítica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, levemente alcalina, térmica" de los </w:t>
      </w:r>
      <w:proofErr w:type="spellStart"/>
      <w:r w:rsidRPr="000D1658">
        <w:rPr>
          <w:rFonts w:ascii="Times New Roman" w:hAnsi="Times New Roman" w:cs="Times New Roman"/>
          <w:spacing w:val="-1"/>
          <w:u w:val="single"/>
          <w:lang w:val="es-ES_tradnl"/>
        </w:rPr>
        <w:t>Ocracualfes</w:t>
      </w:r>
      <w:proofErr w:type="spellEnd"/>
      <w:r w:rsidRPr="000D1658">
        <w:rPr>
          <w:rFonts w:ascii="Times New Roman" w:hAnsi="Times New Roman" w:cs="Times New Roman"/>
          <w:spacing w:val="-1"/>
          <w:u w:val="single"/>
          <w:lang w:val="es-ES_tradnl"/>
        </w:rPr>
        <w:t xml:space="preserve"> </w:t>
      </w:r>
      <w:proofErr w:type="spellStart"/>
      <w:r w:rsidRPr="000D1658">
        <w:rPr>
          <w:rFonts w:ascii="Times New Roman" w:hAnsi="Times New Roman" w:cs="Times New Roman"/>
          <w:spacing w:val="-1"/>
          <w:u w:val="single"/>
          <w:lang w:val="es-ES_tradnl"/>
        </w:rPr>
        <w:t>vérticos</w:t>
      </w:r>
      <w:proofErr w:type="spellEnd"/>
      <w:r w:rsidRPr="000D1658">
        <w:rPr>
          <w:rFonts w:ascii="Times New Roman" w:hAnsi="Times New Roman" w:cs="Times New Roman"/>
          <w:spacing w:val="-1"/>
          <w:u w:val="single"/>
          <w:lang w:val="es-ES_tradnl"/>
        </w:rPr>
        <w:t xml:space="preserve"> </w:t>
      </w:r>
      <w:proofErr w:type="spellStart"/>
      <w:r w:rsidRPr="000D1658">
        <w:rPr>
          <w:rFonts w:ascii="Times New Roman" w:hAnsi="Times New Roman" w:cs="Times New Roman"/>
          <w:spacing w:val="-1"/>
          <w:u w:val="single"/>
          <w:lang w:val="es-ES_tradnl"/>
        </w:rPr>
        <w:t>mólicos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(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planosol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vertisólico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con un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epipedón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mólico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>).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0D1658">
        <w:rPr>
          <w:rFonts w:ascii="Times New Roman" w:hAnsi="Times New Roman" w:cs="Times New Roman"/>
          <w:spacing w:val="-1"/>
          <w:lang w:val="es-ES_tradnl"/>
        </w:rPr>
        <w:t>Suelos desarrollados a partir de sedimentos limos calcáreos, arcillo limosos, pobremente drenados, con concreciones de hierro-manganeso desde la superficie de hasta 2 mm, y a partir de los 10 cm de profundidad hasta 4 mm de diámetro, con moteados de hierro-manganeso abundantes.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0D1658">
        <w:rPr>
          <w:rFonts w:ascii="Times New Roman" w:hAnsi="Times New Roman" w:cs="Times New Roman"/>
          <w:b/>
          <w:spacing w:val="-1"/>
          <w:u w:val="single"/>
          <w:lang w:val="es-ES_tradnl"/>
        </w:rPr>
        <w:t>Perfil tipo</w:t>
      </w:r>
      <w:r w:rsidRPr="000D1658">
        <w:rPr>
          <w:rFonts w:ascii="Times New Roman" w:hAnsi="Times New Roman" w:cs="Times New Roman"/>
          <w:spacing w:val="-1"/>
          <w:u w:val="single"/>
          <w:lang w:val="es-ES_tradnl"/>
        </w:rPr>
        <w:t>:</w:t>
      </w:r>
      <w:r w:rsidRPr="000D1658">
        <w:rPr>
          <w:rFonts w:ascii="Times New Roman" w:hAnsi="Times New Roman" w:cs="Times New Roman"/>
          <w:spacing w:val="-1"/>
          <w:lang w:val="es-ES_tradnl"/>
        </w:rPr>
        <w:t xml:space="preserve"> ER7-30C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0D1658">
        <w:rPr>
          <w:rFonts w:ascii="Times New Roman" w:hAnsi="Times New Roman" w:cs="Times New Roman"/>
          <w:b/>
          <w:spacing w:val="-1"/>
          <w:lang w:val="es-ES_tradnl"/>
        </w:rPr>
        <w:t>Fecha</w:t>
      </w:r>
      <w:r w:rsidRPr="000D1658">
        <w:rPr>
          <w:rFonts w:ascii="Times New Roman" w:hAnsi="Times New Roman" w:cs="Times New Roman"/>
          <w:spacing w:val="-1"/>
          <w:lang w:val="es-ES_tradnl"/>
        </w:rPr>
        <w:t xml:space="preserve">: 26-VIII-1982 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0D1658">
        <w:rPr>
          <w:rFonts w:ascii="Times New Roman" w:hAnsi="Times New Roman" w:cs="Times New Roman"/>
          <w:b/>
          <w:spacing w:val="-1"/>
          <w:lang w:val="es-ES_tradnl"/>
        </w:rPr>
        <w:t>Ubicación</w:t>
      </w:r>
      <w:r w:rsidRPr="000D1658">
        <w:rPr>
          <w:rFonts w:ascii="Times New Roman" w:hAnsi="Times New Roman" w:cs="Times New Roman"/>
          <w:spacing w:val="-1"/>
          <w:lang w:val="es-ES_tradnl"/>
        </w:rPr>
        <w:t xml:space="preserve">: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Ea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. "María Luisa" (foto 174-56) -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Dpto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Federal. 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0D1658">
        <w:rPr>
          <w:rFonts w:ascii="Times New Roman" w:hAnsi="Times New Roman" w:cs="Times New Roman"/>
          <w:b/>
          <w:spacing w:val="-1"/>
          <w:lang w:val="es-ES_tradnl"/>
        </w:rPr>
        <w:t>Reconocedores</w:t>
      </w:r>
      <w:r w:rsidRPr="000D1658">
        <w:rPr>
          <w:rFonts w:ascii="Times New Roman" w:hAnsi="Times New Roman" w:cs="Times New Roman"/>
          <w:spacing w:val="-1"/>
          <w:lang w:val="es-ES_tradnl"/>
        </w:rPr>
        <w:t xml:space="preserve">: L.O. López; R.H. Fuentes; O.A.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Foti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>.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0D1658">
        <w:rPr>
          <w:rFonts w:ascii="Times New Roman" w:hAnsi="Times New Roman" w:cs="Times New Roman"/>
          <w:b/>
          <w:spacing w:val="-1"/>
          <w:lang w:val="es-ES_tradnl"/>
        </w:rPr>
        <w:t>A11</w:t>
      </w:r>
      <w:r w:rsidRPr="000D1658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0D1658">
        <w:rPr>
          <w:rFonts w:ascii="Times New Roman" w:hAnsi="Times New Roman" w:cs="Times New Roman"/>
          <w:spacing w:val="-1"/>
          <w:lang w:val="es-ES_tradnl"/>
        </w:rPr>
        <w:t>00-08 cm; pardo muy oscuro (10YR 4/2) en húmedo y gris claro (10IR 7/2) en seco; franco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0D1658">
        <w:rPr>
          <w:rFonts w:ascii="Times New Roman" w:hAnsi="Times New Roman" w:cs="Times New Roman"/>
          <w:spacing w:val="-1"/>
          <w:lang w:val="es-ES_tradnl"/>
        </w:rPr>
        <w:t>arcillo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0D1658">
        <w:rPr>
          <w:rFonts w:ascii="Times New Roman" w:hAnsi="Times New Roman" w:cs="Times New Roman"/>
          <w:spacing w:val="-1"/>
          <w:lang w:val="es-ES_tradnl"/>
        </w:rPr>
        <w:t xml:space="preserve">limoso; estructura en bloques angulares y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subangulares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irregulares débiles y finos con tendencia a masiva; muy duro en seco, friable en húmedo; barnices ("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humic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skins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") escasos, finos; moteados de hierro-manganeso abundantes, medios y sobresalientes; concreciones de hierro-manganeso escasas de aproximadamente 2 mm; límite claro, suave.  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0D1658">
        <w:rPr>
          <w:rFonts w:ascii="Times New Roman" w:hAnsi="Times New Roman" w:cs="Times New Roman"/>
          <w:b/>
          <w:spacing w:val="-1"/>
          <w:lang w:val="es-ES_tradnl"/>
        </w:rPr>
        <w:t>A12</w:t>
      </w:r>
      <w:r w:rsidRPr="000D1658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0D1658">
        <w:rPr>
          <w:rFonts w:ascii="Times New Roman" w:hAnsi="Times New Roman" w:cs="Times New Roman"/>
          <w:spacing w:val="-1"/>
          <w:lang w:val="es-ES_tradnl"/>
        </w:rPr>
        <w:t>08-16 cm; gris muy oscuro (10IR 3/1) en húmedo y pardo grisáceo muy oscuro (10IR 3/2) en seco; franco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0D1658">
        <w:rPr>
          <w:rFonts w:ascii="Times New Roman" w:hAnsi="Times New Roman" w:cs="Times New Roman"/>
          <w:spacing w:val="-1"/>
          <w:lang w:val="es-ES_tradnl"/>
        </w:rPr>
        <w:t>arcillo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0D1658">
        <w:rPr>
          <w:rFonts w:ascii="Times New Roman" w:hAnsi="Times New Roman" w:cs="Times New Roman"/>
          <w:spacing w:val="-1"/>
          <w:lang w:val="es-ES_tradnl"/>
        </w:rPr>
        <w:t xml:space="preserve">limoso; estructura en bloques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subangulares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y angulares irregulares medios, moderados; duro en seco, ligeramente firme en húmedo; barnices ("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clay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humic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skins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") abundantes; moteados de hierro-manganeso abundantes, medios y sobresalientes; concreciones de hierro-manganeso abundantes de hasta 4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mm.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Muestra lixiviación en la cara de los agregados; límite claro, suave.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0D1658">
        <w:rPr>
          <w:rFonts w:ascii="Times New Roman" w:hAnsi="Times New Roman" w:cs="Times New Roman"/>
          <w:b/>
          <w:spacing w:val="-1"/>
          <w:lang w:val="es-ES_tradnl"/>
        </w:rPr>
        <w:t>B21t</w:t>
      </w:r>
      <w:r w:rsidRPr="000D1658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0D1658">
        <w:rPr>
          <w:rFonts w:ascii="Times New Roman" w:hAnsi="Times New Roman" w:cs="Times New Roman"/>
          <w:spacing w:val="-1"/>
          <w:lang w:val="es-ES_tradnl"/>
        </w:rPr>
        <w:t>16-43 cm; gris muy oscuro a negro (10YR 2.5/1) en húmedo; arcillo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0D1658">
        <w:rPr>
          <w:rFonts w:ascii="Times New Roman" w:hAnsi="Times New Roman" w:cs="Times New Roman"/>
          <w:spacing w:val="-1"/>
          <w:lang w:val="es-ES_tradnl"/>
        </w:rPr>
        <w:t>limoso; estructura de prismas compuestos irregulares medios, débiles que rompen en bloques angulares irregulares medios, moderados; duro en seco; firme en húmedo; barnices ("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clay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humic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skins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>") escasos; caras de fricción ("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slickensides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>") abundantes, finas e intersectadas; moteados de hierro-manganeso abundantes, medios y precisos; concreciones de hierro-manganeso abundantes entre 2 y 4 mm; límite claro, suave.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0D1658">
        <w:rPr>
          <w:rFonts w:ascii="Times New Roman" w:hAnsi="Times New Roman" w:cs="Times New Roman"/>
          <w:b/>
          <w:spacing w:val="-1"/>
          <w:lang w:val="es-ES_tradnl"/>
        </w:rPr>
        <w:t>B22t</w:t>
      </w:r>
      <w:r w:rsidRPr="000D1658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0D1658">
        <w:rPr>
          <w:rFonts w:ascii="Times New Roman" w:hAnsi="Times New Roman" w:cs="Times New Roman"/>
          <w:spacing w:val="-1"/>
          <w:lang w:val="es-ES_tradnl"/>
        </w:rPr>
        <w:t>43-62 cm; gris muy oscuro (10YR 3/1) en húmedo; arcillo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0D1658">
        <w:rPr>
          <w:rFonts w:ascii="Times New Roman" w:hAnsi="Times New Roman" w:cs="Times New Roman"/>
          <w:spacing w:val="-1"/>
          <w:lang w:val="es-ES_tradnl"/>
        </w:rPr>
        <w:t>limoso; estructura en prismas compuestos irregulares medios, moderados que rompen en bloques angulares irregulares y cuneiformes medios, moderados; duro en seco, firme en húmedo; barnices ("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clay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humic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skins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>") abundantes; caras de fricción ("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slickensides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>") abundantes, finas e intersectadas; moteados de hierro-manganeso comunes, precisos y finos; concreciones de hierro-manganeso escasas; límite gradual ondulado.</w:t>
      </w:r>
    </w:p>
    <w:p w:rsid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0D1658">
        <w:rPr>
          <w:rFonts w:ascii="Times New Roman" w:hAnsi="Times New Roman" w:cs="Times New Roman"/>
          <w:b/>
          <w:spacing w:val="-1"/>
          <w:lang w:val="es-ES_tradnl"/>
        </w:rPr>
        <w:t>B3ca</w:t>
      </w:r>
      <w:r w:rsidRPr="000D1658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0D1658">
        <w:rPr>
          <w:rFonts w:ascii="Times New Roman" w:hAnsi="Times New Roman" w:cs="Times New Roman"/>
          <w:spacing w:val="-1"/>
          <w:lang w:val="es-ES_tradnl"/>
        </w:rPr>
        <w:t>62-90 cm; pardo (7.5YR 5/2) en húmedo; arcillo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0D1658">
        <w:rPr>
          <w:rFonts w:ascii="Times New Roman" w:hAnsi="Times New Roman" w:cs="Times New Roman"/>
          <w:spacing w:val="-1"/>
          <w:lang w:val="es-ES_tradnl"/>
        </w:rPr>
        <w:t>limoso; estructura de prismas compuestos irregulares medios, débiles que rompen en bloques angulares irregulares medios, moderados; friable en húmedo, ligeramente duro en seco; caras de fricción ("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slickensides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>") abundantes, finas e intersectadas y gruesas no intersectadas; moteados de hierro-manganeso abundantes, medios y sobresalientes; concreciones de hierro-manganeso abundantes; concreciones de calcio abundantes; límite difuso, ondulado.</w:t>
      </w:r>
    </w:p>
    <w:p w:rsidR="000D1658" w:rsidRPr="000D1658" w:rsidRDefault="000D1658" w:rsidP="000D1658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proofErr w:type="spellStart"/>
      <w:r w:rsidRPr="000D1658">
        <w:rPr>
          <w:rFonts w:ascii="Times New Roman" w:hAnsi="Times New Roman" w:cs="Times New Roman"/>
          <w:b/>
          <w:spacing w:val="-1"/>
          <w:lang w:val="es-ES_tradnl"/>
        </w:rPr>
        <w:lastRenderedPageBreak/>
        <w:t>Cca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0D1658">
        <w:rPr>
          <w:rFonts w:ascii="Times New Roman" w:hAnsi="Times New Roman" w:cs="Times New Roman"/>
          <w:spacing w:val="-1"/>
          <w:lang w:val="es-ES_tradnl"/>
        </w:rPr>
        <w:t>90 cm +; gris claro a gris (7.5YR 5.5/4) en húmedo; arcillo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0D1658">
        <w:rPr>
          <w:rFonts w:ascii="Times New Roman" w:hAnsi="Times New Roman" w:cs="Times New Roman"/>
          <w:spacing w:val="-1"/>
          <w:lang w:val="es-ES_tradnl"/>
        </w:rPr>
        <w:t>limoso; estructura masiva; friable en húmedo, duro en seco; caras de fricción ("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slickensides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>") abundantes, inherentes al material madre; gley fósil; carbonatos de calcio libres en la masa abundantes; chorreaduras de materia orgánica.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u w:val="single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u w:val="single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0D1658">
        <w:rPr>
          <w:rFonts w:ascii="Times New Roman" w:hAnsi="Times New Roman" w:cs="Times New Roman"/>
          <w:b/>
          <w:spacing w:val="-1"/>
          <w:u w:val="single"/>
          <w:lang w:val="es-ES_tradnl"/>
        </w:rPr>
        <w:t>Variabilidad de rasgos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0D1658">
        <w:rPr>
          <w:rFonts w:ascii="Times New Roman" w:hAnsi="Times New Roman" w:cs="Times New Roman"/>
          <w:spacing w:val="-1"/>
          <w:lang w:val="es-ES_tradnl"/>
        </w:rPr>
        <w:t xml:space="preserve">El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solum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posee normalmente entre 80-85 cm de espesor, pero se han encontrado algunos perfiles con discontinuidad a partir de 120 cm.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0D1658">
        <w:rPr>
          <w:rFonts w:ascii="Times New Roman" w:hAnsi="Times New Roman" w:cs="Times New Roman"/>
          <w:spacing w:val="-1"/>
          <w:lang w:val="es-ES_tradnl"/>
        </w:rPr>
        <w:t xml:space="preserve">El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epipedón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presenta una secuencia normal de A11 + A12 comúnmente lixiviados y la variabilidad está afectada especialmente por la actividad de bolsones causados por los cangrejales de agua dulce (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Spartacus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sp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>.), con chorreaduras de limo en la cara de los agregados. El espesor de este horizonte puede llegar a los 23 cm, pues la parte superior del horizonte B21t se lo puede incluir como B1. La textura es franco limosa a franco arcillo limosa con tenores de arcilla entre 30 y 35%.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0D1658">
        <w:rPr>
          <w:rFonts w:ascii="Times New Roman" w:hAnsi="Times New Roman" w:cs="Times New Roman"/>
          <w:spacing w:val="-1"/>
          <w:lang w:val="es-ES_tradnl"/>
        </w:rPr>
        <w:t>El B2 textural posee entre 45 y 65 cm de espesor, considerando que el B3ca presenta porcentajes muy altos de arcillas expandibles (</w:t>
      </w:r>
      <w:proofErr w:type="spellStart"/>
      <w:proofErr w:type="gramStart"/>
      <w:r w:rsidRPr="000D1658">
        <w:rPr>
          <w:rFonts w:ascii="Times New Roman" w:hAnsi="Times New Roman" w:cs="Times New Roman"/>
          <w:spacing w:val="-1"/>
          <w:lang w:val="es-ES_tradnl"/>
        </w:rPr>
        <w:t>montmorillonita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?</w:t>
      </w:r>
      <w:proofErr w:type="gramEnd"/>
      <w:r w:rsidRPr="000D1658">
        <w:rPr>
          <w:rFonts w:ascii="Times New Roman" w:hAnsi="Times New Roman" w:cs="Times New Roman"/>
          <w:spacing w:val="-1"/>
          <w:lang w:val="es-ES_tradnl"/>
        </w:rPr>
        <w:t>), con movimiento en masa (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churning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). A partir de este horizonte las características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vérticas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son evidentes, aún en el horizonte C.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0D1658">
        <w:rPr>
          <w:rFonts w:ascii="Times New Roman" w:hAnsi="Times New Roman" w:cs="Times New Roman"/>
          <w:b/>
          <w:spacing w:val="-1"/>
          <w:u w:val="single"/>
          <w:lang w:val="es-ES_tradnl"/>
        </w:rPr>
        <w:t>Fases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0D1658">
        <w:rPr>
          <w:rFonts w:ascii="Times New Roman" w:hAnsi="Times New Roman" w:cs="Times New Roman"/>
          <w:spacing w:val="-1"/>
          <w:lang w:val="es-ES_tradnl"/>
        </w:rPr>
        <w:t xml:space="preserve">No se encuentran a este nivel de reconocimiento. 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0D1658">
        <w:rPr>
          <w:rFonts w:ascii="Times New Roman" w:hAnsi="Times New Roman" w:cs="Times New Roman"/>
          <w:b/>
          <w:spacing w:val="-1"/>
          <w:u w:val="single"/>
          <w:lang w:val="es-ES_tradnl"/>
        </w:rPr>
        <w:t>Series similares y sus diferencias</w:t>
      </w:r>
      <w:r w:rsidRPr="000D1658">
        <w:rPr>
          <w:rFonts w:ascii="Times New Roman" w:hAnsi="Times New Roman" w:cs="Times New Roman"/>
          <w:b/>
          <w:spacing w:val="-1"/>
          <w:lang w:val="es-ES_tradnl"/>
        </w:rPr>
        <w:tab/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0D1658">
        <w:rPr>
          <w:rFonts w:ascii="Times New Roman" w:hAnsi="Times New Roman" w:cs="Times New Roman"/>
          <w:spacing w:val="-1"/>
          <w:lang w:val="es-ES_tradnl"/>
        </w:rPr>
        <w:t xml:space="preserve">Se parece a la serie Miñones, pero ésta tiene un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epipedón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más somero y presenta un paisaje con mayor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hidromorfismo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y a la serie Conscripto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Bernardi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- con quien está asociada en la fisiografía - la cual tiene un </w:t>
      </w:r>
      <w:proofErr w:type="spellStart"/>
      <w:r w:rsidRPr="000D1658">
        <w:rPr>
          <w:rFonts w:ascii="Times New Roman" w:hAnsi="Times New Roman" w:cs="Times New Roman"/>
          <w:spacing w:val="-1"/>
          <w:lang w:val="es-ES_tradnl"/>
        </w:rPr>
        <w:t>epipedón</w:t>
      </w:r>
      <w:proofErr w:type="spellEnd"/>
      <w:r w:rsidRPr="000D1658">
        <w:rPr>
          <w:rFonts w:ascii="Times New Roman" w:hAnsi="Times New Roman" w:cs="Times New Roman"/>
          <w:spacing w:val="-1"/>
          <w:lang w:val="es-ES_tradnl"/>
        </w:rPr>
        <w:t xml:space="preserve"> más lixiviado y se ubica en las partes más altas de la unidad.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0D1658">
        <w:rPr>
          <w:rFonts w:ascii="Times New Roman" w:hAnsi="Times New Roman" w:cs="Times New Roman"/>
          <w:b/>
          <w:spacing w:val="-1"/>
          <w:u w:val="single"/>
          <w:lang w:val="es-ES_tradnl"/>
        </w:rPr>
        <w:t>Drenaje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0D1658">
        <w:rPr>
          <w:rFonts w:ascii="Times New Roman" w:hAnsi="Times New Roman" w:cs="Times New Roman"/>
          <w:spacing w:val="-1"/>
          <w:lang w:val="es-ES_tradnl"/>
        </w:rPr>
        <w:t>Pobre a mal drenado; escurrimiento estancado a muy lento. Permeabilidad lenta a muy lenta. Napa freática profunda. Grupo hidrológico D.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0D1658">
        <w:rPr>
          <w:rFonts w:ascii="Times New Roman" w:hAnsi="Times New Roman" w:cs="Times New Roman"/>
          <w:b/>
          <w:spacing w:val="-1"/>
          <w:u w:val="single"/>
          <w:lang w:val="es-ES_tradnl"/>
        </w:rPr>
        <w:t>Erosión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0D1658">
        <w:rPr>
          <w:rFonts w:ascii="Times New Roman" w:hAnsi="Times New Roman" w:cs="Times New Roman"/>
          <w:spacing w:val="-1"/>
          <w:lang w:val="es-ES_tradnl"/>
        </w:rPr>
        <w:tab/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0D1658">
        <w:rPr>
          <w:rFonts w:ascii="Times New Roman" w:hAnsi="Times New Roman" w:cs="Times New Roman"/>
          <w:spacing w:val="-1"/>
          <w:lang w:val="es-ES_tradnl"/>
        </w:rPr>
        <w:t>La serie María Luisa no presenta erosión, ni tampoco es susceptible a la misma.</w:t>
      </w:r>
    </w:p>
    <w:p w:rsidR="000D1658" w:rsidRPr="000D1658" w:rsidRDefault="000D1658" w:rsidP="000D1658">
      <w:pPr>
        <w:tabs>
          <w:tab w:val="center" w:pos="4478"/>
        </w:tabs>
        <w:suppressAutoHyphens/>
        <w:spacing w:after="0" w:line="240" w:lineRule="auto"/>
        <w:jc w:val="center"/>
        <w:rPr>
          <w:rFonts w:ascii="Times New Roman" w:hAnsi="Times New Roman" w:cs="Times New Roman"/>
          <w:spacing w:val="-1"/>
          <w:u w:val="single"/>
          <w:lang w:val="es-ES_tradnl"/>
        </w:rPr>
      </w:pPr>
      <w:r w:rsidRPr="000D1658">
        <w:rPr>
          <w:rFonts w:ascii="Times New Roman" w:hAnsi="Times New Roman" w:cs="Times New Roman"/>
          <w:spacing w:val="-1"/>
          <w:u w:val="single"/>
          <w:lang w:val="es-ES_tradnl"/>
        </w:rPr>
        <w:br w:type="page"/>
      </w:r>
    </w:p>
    <w:p w:rsidR="000D1658" w:rsidRPr="000D1658" w:rsidRDefault="000D1658" w:rsidP="000D1658">
      <w:pPr>
        <w:tabs>
          <w:tab w:val="center" w:pos="4478"/>
        </w:tabs>
        <w:suppressAutoHyphens/>
        <w:spacing w:after="0" w:line="240" w:lineRule="auto"/>
        <w:rPr>
          <w:rFonts w:ascii="Times New Roman" w:hAnsi="Times New Roman" w:cs="Times New Roman"/>
          <w:b/>
          <w:spacing w:val="-1"/>
          <w:lang w:val="es-ES_tradnl"/>
        </w:rPr>
      </w:pPr>
      <w:r w:rsidRPr="000D1658">
        <w:rPr>
          <w:rFonts w:ascii="Times New Roman" w:hAnsi="Times New Roman" w:cs="Times New Roman"/>
          <w:b/>
          <w:spacing w:val="-1"/>
          <w:u w:val="single"/>
          <w:lang w:val="es-ES_tradnl"/>
        </w:rPr>
        <w:lastRenderedPageBreak/>
        <w:t>DATOS ANALITICOS DEL PERFIL TIPICO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u w:val="single"/>
          <w:lang w:val="es-ES_tradnl"/>
        </w:rPr>
      </w:pP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0D1658">
        <w:rPr>
          <w:rFonts w:ascii="Times New Roman" w:hAnsi="Times New Roman" w:cs="Times New Roman"/>
          <w:b/>
          <w:spacing w:val="-1"/>
          <w:u w:val="single"/>
          <w:lang w:val="es-ES_tradnl"/>
        </w:rPr>
        <w:t>Serie María Luisa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02"/>
        <w:gridCol w:w="884"/>
        <w:gridCol w:w="884"/>
        <w:gridCol w:w="937"/>
        <w:gridCol w:w="884"/>
        <w:gridCol w:w="1120"/>
        <w:gridCol w:w="1120"/>
      </w:tblGrid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ER7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noBreakHyphen/>
              <w:t>30C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Nº de registro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3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522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3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523</w:t>
            </w: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3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524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3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525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3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526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3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527</w:t>
            </w:r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Horizonte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>A11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>A12</w:t>
            </w: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>B21t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>B22t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>B3ca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proofErr w:type="spellStart"/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>Cca</w:t>
            </w:r>
            <w:proofErr w:type="spellEnd"/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Profundidad (cm)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-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07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-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15  </w:t>
            </w: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25</w:t>
            </w:r>
            <w:r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-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40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47</w:t>
            </w:r>
            <w:r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-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60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65</w:t>
            </w:r>
            <w:r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-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80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100</w:t>
            </w:r>
            <w:r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-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120</w:t>
            </w:r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  <w:t>Materia orgánica (%)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3.30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1.51      </w:t>
            </w: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1.44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1.34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0.52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0.31</w:t>
            </w:r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>N (%)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0.14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0.08      </w:t>
            </w: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0.07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0.06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0.03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0.02</w:t>
            </w:r>
          </w:p>
        </w:tc>
      </w:tr>
      <w:tr w:rsidR="000D1658" w:rsidRPr="000D1658" w:rsidTr="000D1658">
        <w:tc>
          <w:tcPr>
            <w:tcW w:w="2802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>C/N</w:t>
            </w: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14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11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12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13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10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9</w:t>
            </w:r>
          </w:p>
        </w:tc>
      </w:tr>
      <w:tr w:rsidR="000D1658" w:rsidRPr="000D1658" w:rsidTr="000D1658">
        <w:tc>
          <w:tcPr>
            <w:tcW w:w="2802" w:type="dxa"/>
            <w:tcBorders>
              <w:top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T      </w:t>
            </w:r>
            <w:r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          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  &lt; 2 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μ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         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28.75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33.64    </w:t>
            </w:r>
          </w:p>
        </w:tc>
        <w:tc>
          <w:tcPr>
            <w:tcW w:w="937" w:type="dxa"/>
            <w:tcBorders>
              <w:top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43.81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46.91 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44.10     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>49.80</w:t>
            </w:r>
          </w:p>
        </w:tc>
        <w:bookmarkStart w:id="0" w:name="_GoBack"/>
        <w:bookmarkEnd w:id="0"/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E     </w:t>
            </w:r>
            <w:r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           2-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 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μ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         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43.75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40.14    </w:t>
            </w: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36.61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36.93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30.86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>30.09</w:t>
            </w:r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>X               2-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>50</w:t>
            </w:r>
            <w:r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 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μ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         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70.61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65.74    </w:t>
            </w: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55.95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52.78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55.60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>49.88</w:t>
            </w:r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>T            50-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>100</w:t>
            </w:r>
            <w:r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 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μ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         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0.26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0.26      </w:t>
            </w: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0.10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0.14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0.14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>0.03</w:t>
            </w:r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>U          100-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>250</w:t>
            </w:r>
            <w:r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 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μ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         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0.34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0.30      </w:t>
            </w: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0.12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0.14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 xml:space="preserve">0.14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fr-FR" w:eastAsia="es-AR"/>
              </w:rPr>
              <w:t>0.12</w:t>
            </w:r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R    </w:t>
            </w:r>
            <w:r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      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>250</w:t>
            </w:r>
            <w:r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>-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>500</w:t>
            </w:r>
            <w:r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 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μ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         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0.00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0.00      </w:t>
            </w: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0.00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0.00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0.00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>0.12</w:t>
            </w:r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A    </w:t>
            </w:r>
            <w:r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   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>500-1000</w:t>
            </w:r>
            <w:r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 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μ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0.02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0.03      </w:t>
            </w: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0.02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0.03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0.02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0.05</w:t>
            </w:r>
          </w:p>
        </w:tc>
      </w:tr>
      <w:tr w:rsidR="000D1658" w:rsidRPr="000D1658" w:rsidTr="000D1658">
        <w:trPr>
          <w:trHeight w:val="179"/>
        </w:trPr>
        <w:tc>
          <w:tcPr>
            <w:tcW w:w="2802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  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>1000</w:t>
            </w:r>
            <w:r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>-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>2000</w:t>
            </w:r>
            <w:r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 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μ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        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0.00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0.03      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0.00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0.00      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0.00      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0.00      </w:t>
            </w:r>
          </w:p>
        </w:tc>
      </w:tr>
      <w:tr w:rsidR="000D1658" w:rsidRPr="000D1658" w:rsidTr="000D1658">
        <w:tc>
          <w:tcPr>
            <w:tcW w:w="2802" w:type="dxa"/>
            <w:tcBorders>
              <w:top w:val="single" w:sz="4" w:space="0" w:color="auto"/>
            </w:tcBorders>
          </w:tcPr>
          <w:p w:rsid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CO3Ca (%)                 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0.0 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0.0</w:t>
            </w:r>
          </w:p>
        </w:tc>
        <w:tc>
          <w:tcPr>
            <w:tcW w:w="937" w:type="dxa"/>
            <w:tcBorders>
              <w:top w:val="single" w:sz="4" w:space="0" w:color="auto"/>
            </w:tcBorders>
          </w:tcPr>
          <w:p w:rsid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0.0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0.0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</w:pP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0.7       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</w:pP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>3.0</w:t>
            </w:r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pH H2O                 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5.4 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5.5       </w:t>
            </w: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6.2 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6.3 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7.5 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>7.6</w:t>
            </w:r>
          </w:p>
        </w:tc>
      </w:tr>
      <w:tr w:rsidR="000D1658" w:rsidRPr="000D1658" w:rsidTr="000D1658">
        <w:tc>
          <w:tcPr>
            <w:tcW w:w="2802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pH </w:t>
            </w:r>
            <w:proofErr w:type="spellStart"/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>ClK</w:t>
            </w:r>
            <w:proofErr w:type="spellEnd"/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                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5.1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5.1       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5.7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5.9       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6.9       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>7.0</w:t>
            </w:r>
          </w:p>
        </w:tc>
      </w:tr>
      <w:tr w:rsidR="000D1658" w:rsidRPr="000D1658" w:rsidTr="000D1658">
        <w:trPr>
          <w:trHeight w:val="1377"/>
        </w:trPr>
        <w:tc>
          <w:tcPr>
            <w:tcW w:w="2802" w:type="dxa"/>
            <w:tcBorders>
              <w:top w:val="single" w:sz="4" w:space="0" w:color="auto"/>
            </w:tcBorders>
            <w:vAlign w:val="center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Capacidad de intercambio</w:t>
            </w: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catiónico (</w:t>
            </w:r>
            <w:proofErr w:type="spellStart"/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m.e</w:t>
            </w:r>
            <w:proofErr w:type="spellEnd"/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./100 g) =</w:t>
            </w: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valor T                      </w:t>
            </w:r>
          </w:p>
        </w:tc>
        <w:tc>
          <w:tcPr>
            <w:tcW w:w="884" w:type="dxa"/>
            <w:tcBorders>
              <w:top w:val="single" w:sz="4" w:space="0" w:color="auto"/>
            </w:tcBorders>
            <w:vAlign w:val="center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22.32     </w:t>
            </w:r>
          </w:p>
        </w:tc>
        <w:tc>
          <w:tcPr>
            <w:tcW w:w="884" w:type="dxa"/>
            <w:tcBorders>
              <w:top w:val="single" w:sz="4" w:space="0" w:color="auto"/>
            </w:tcBorders>
            <w:vAlign w:val="center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24.07     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36.00     </w:t>
            </w:r>
          </w:p>
        </w:tc>
        <w:tc>
          <w:tcPr>
            <w:tcW w:w="884" w:type="dxa"/>
            <w:tcBorders>
              <w:top w:val="single" w:sz="4" w:space="0" w:color="auto"/>
            </w:tcBorders>
            <w:vAlign w:val="center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43.55     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vAlign w:val="center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42.12     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39.28</w:t>
            </w:r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     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  <w:t xml:space="preserve">d     Ca++         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16.00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17.00    </w:t>
            </w: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26.66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22.44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32.55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N.D.</w:t>
            </w:r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  <w:t>C  e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  <w:t xml:space="preserve">a          Mg++          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5.55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4.67      </w:t>
            </w: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6.78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7.56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7.12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>N.D.</w:t>
            </w:r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  <w:t>t    c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  <w:t xml:space="preserve">i    a     K+            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0.67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0.48      </w:t>
            </w: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0.40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0.56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0.96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>0.89</w:t>
            </w:r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  <w:t>o   m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  <w:t xml:space="preserve">n   b     Na+           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1.65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1.95      </w:t>
            </w: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2.70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2.70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 xml:space="preserve">3.70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>2.25</w:t>
            </w:r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  <w:t>e   i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it-IT" w:eastAsia="es-AR"/>
              </w:rPr>
            </w:pPr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s   o     H+      </w:t>
            </w:r>
          </w:p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      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>N.D.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>N.D.</w:t>
            </w: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>N.D.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>N.D.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>N.D.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n-US" w:eastAsia="es-AR"/>
              </w:rPr>
              <w:t>N.D.</w:t>
            </w:r>
          </w:p>
        </w:tc>
      </w:tr>
      <w:tr w:rsidR="000D1658" w:rsidRPr="000D1658" w:rsidTr="000D1658">
        <w:tc>
          <w:tcPr>
            <w:tcW w:w="2802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% </w:t>
            </w:r>
            <w:proofErr w:type="spellStart"/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>Na</w:t>
            </w:r>
            <w:proofErr w:type="spellEnd"/>
            <w:r w:rsidRPr="000D1658">
              <w:rPr>
                <w:rFonts w:ascii="Times New Roman" w:eastAsia="Times New Roman" w:hAnsi="Times New Roman" w:cs="Times New Roman"/>
                <w:spacing w:val="-1"/>
                <w:lang w:eastAsia="es-AR"/>
              </w:rPr>
              <w:t xml:space="preserve">/T                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7.39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8.10      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7.50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6.20      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8.78      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5.73</w:t>
            </w:r>
          </w:p>
        </w:tc>
      </w:tr>
      <w:tr w:rsidR="000D1658" w:rsidRPr="000D1658" w:rsidTr="000D1658">
        <w:tc>
          <w:tcPr>
            <w:tcW w:w="2802" w:type="dxa"/>
            <w:tcBorders>
              <w:top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Equivalente de humedad (%)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21.90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26.15 </w:t>
            </w: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36.12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36.22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32.32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30.85</w:t>
            </w:r>
          </w:p>
        </w:tc>
      </w:tr>
      <w:tr w:rsidR="000D1658" w:rsidRPr="000D1658" w:rsidTr="000D1658">
        <w:tc>
          <w:tcPr>
            <w:tcW w:w="2802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P asimilable (p</w:t>
            </w: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pm)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4.96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5.84      </w:t>
            </w:r>
          </w:p>
        </w:tc>
        <w:tc>
          <w:tcPr>
            <w:tcW w:w="937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6.76      </w:t>
            </w:r>
          </w:p>
        </w:tc>
        <w:tc>
          <w:tcPr>
            <w:tcW w:w="884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5.84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 xml:space="preserve">10.40      </w:t>
            </w:r>
          </w:p>
        </w:tc>
        <w:tc>
          <w:tcPr>
            <w:tcW w:w="1120" w:type="dxa"/>
          </w:tcPr>
          <w:p w:rsidR="000D1658" w:rsidRPr="000D1658" w:rsidRDefault="000D1658" w:rsidP="000D165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</w:pPr>
            <w:r w:rsidRPr="000D1658">
              <w:rPr>
                <w:rFonts w:ascii="Times New Roman" w:eastAsia="Times New Roman" w:hAnsi="Times New Roman" w:cs="Times New Roman"/>
                <w:spacing w:val="-1"/>
                <w:lang w:val="es-ES_tradnl" w:eastAsia="es-AR"/>
              </w:rPr>
              <w:t>7.20</w:t>
            </w:r>
          </w:p>
        </w:tc>
      </w:tr>
    </w:tbl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0D1658">
        <w:rPr>
          <w:rFonts w:ascii="Times New Roman" w:hAnsi="Times New Roman" w:cs="Times New Roman"/>
          <w:spacing w:val="-1"/>
          <w:lang w:val="es-ES_tradnl"/>
        </w:rPr>
        <w:t xml:space="preserve">        </w:t>
      </w:r>
      <w:r w:rsidRPr="000D1658">
        <w:rPr>
          <w:rFonts w:ascii="Times New Roman" w:hAnsi="Times New Roman" w:cs="Times New Roman"/>
          <w:spacing w:val="-1"/>
          <w:lang w:val="es-ES_tradnl"/>
        </w:rPr>
        <w:tab/>
        <w:t xml:space="preserve"> </w:t>
      </w:r>
    </w:p>
    <w:p w:rsidR="000D1658" w:rsidRPr="000D1658" w:rsidRDefault="000D1658" w:rsidP="000D1658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0D1658">
        <w:rPr>
          <w:rFonts w:ascii="Times New Roman" w:hAnsi="Times New Roman" w:cs="Times New Roman"/>
          <w:spacing w:val="-1"/>
          <w:lang w:val="es-ES_tradnl"/>
        </w:rPr>
        <w:t xml:space="preserve">N.D.= No determinado. </w:t>
      </w:r>
    </w:p>
    <w:p w:rsidR="00696C07" w:rsidRPr="000D1658" w:rsidRDefault="00696C07" w:rsidP="000D1658">
      <w:pPr>
        <w:spacing w:after="0" w:line="240" w:lineRule="auto"/>
        <w:rPr>
          <w:rFonts w:ascii="Times New Roman" w:hAnsi="Times New Roman" w:cs="Times New Roman"/>
        </w:rPr>
      </w:pPr>
    </w:p>
    <w:sectPr w:rsidR="00696C07" w:rsidRPr="000D1658" w:rsidSect="000D1658">
      <w:pgSz w:w="12240" w:h="15840" w:code="11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658"/>
    <w:rsid w:val="000D1658"/>
    <w:rsid w:val="0069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6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D1658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D1658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6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D1658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D1658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1119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2014-02-12T12:55:00Z</dcterms:created>
  <dcterms:modified xsi:type="dcterms:W3CDTF">2014-02-12T13:00:00Z</dcterms:modified>
</cp:coreProperties>
</file>