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034D9" w:rsidRDefault="003034D9" w:rsidP="00522E2C">
      <w:pPr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034D9">
        <w:rPr>
          <w:b/>
          <w:bCs/>
          <w:sz w:val="24"/>
          <w:szCs w:val="24"/>
          <w:lang w:val="es-ES_tradnl"/>
        </w:rPr>
        <w:t xml:space="preserve">SERIE </w:t>
      </w:r>
      <w:r w:rsidR="005722ED">
        <w:rPr>
          <w:b/>
          <w:bCs/>
          <w:sz w:val="24"/>
          <w:szCs w:val="24"/>
          <w:lang w:val="es-ES_tradnl"/>
        </w:rPr>
        <w:t>MILLÁN</w:t>
      </w:r>
      <w:r w:rsidR="005722ED">
        <w:rPr>
          <w:b/>
          <w:bCs/>
          <w:sz w:val="24"/>
          <w:szCs w:val="24"/>
          <w:lang w:val="es-ES_tradnl"/>
        </w:rPr>
        <w:tab/>
      </w:r>
      <w:r w:rsidR="00F33D5C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  <w:t xml:space="preserve">      </w:t>
      </w:r>
      <w:r w:rsidRPr="003034D9">
        <w:rPr>
          <w:b/>
          <w:bCs/>
          <w:sz w:val="24"/>
          <w:szCs w:val="24"/>
          <w:lang w:val="es-ES_tradnl"/>
        </w:rPr>
        <w:tab/>
        <w:t xml:space="preserve">  </w:t>
      </w:r>
      <w:r w:rsidR="00FD77A9">
        <w:rPr>
          <w:b/>
          <w:bCs/>
          <w:sz w:val="24"/>
          <w:szCs w:val="24"/>
          <w:lang w:val="es-ES_tradnl"/>
        </w:rPr>
        <w:t xml:space="preserve">             </w:t>
      </w:r>
      <w:r w:rsidRPr="003034D9">
        <w:rPr>
          <w:b/>
          <w:bCs/>
          <w:sz w:val="24"/>
          <w:szCs w:val="24"/>
          <w:lang w:val="es-ES_tradnl"/>
        </w:rPr>
        <w:t xml:space="preserve">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sz w:val="24"/>
          <w:szCs w:val="24"/>
          <w:lang w:val="es-ES_tradnl"/>
        </w:rPr>
        <w:t xml:space="preserve">Símbolo: </w:t>
      </w:r>
      <w:proofErr w:type="spellStart"/>
      <w:r w:rsidR="005722ED">
        <w:rPr>
          <w:b/>
          <w:sz w:val="24"/>
          <w:szCs w:val="24"/>
          <w:lang w:val="es-ES_tradnl"/>
        </w:rPr>
        <w:t>Mll</w:t>
      </w:r>
      <w:proofErr w:type="spellEnd"/>
    </w:p>
    <w:p w:rsidR="003034D9" w:rsidRPr="00A464BE" w:rsidRDefault="003034D9" w:rsidP="00A464BE">
      <w:pPr>
        <w:jc w:val="both"/>
        <w:rPr>
          <w:sz w:val="22"/>
          <w:szCs w:val="22"/>
        </w:rPr>
      </w:pPr>
    </w:p>
    <w:p w:rsidR="00A464BE" w:rsidRPr="00A464BE" w:rsidRDefault="00A464BE" w:rsidP="00A464BE">
      <w:pPr>
        <w:jc w:val="both"/>
        <w:rPr>
          <w:sz w:val="22"/>
          <w:szCs w:val="22"/>
        </w:rPr>
      </w:pPr>
    </w:p>
    <w:p w:rsidR="00F90D9C" w:rsidRPr="00522E2C" w:rsidRDefault="00F90D9C" w:rsidP="00A464BE">
      <w:pPr>
        <w:jc w:val="both"/>
        <w:rPr>
          <w:sz w:val="22"/>
          <w:szCs w:val="22"/>
        </w:rPr>
      </w:pPr>
      <w:r w:rsidRPr="00A464BE">
        <w:rPr>
          <w:sz w:val="22"/>
          <w:szCs w:val="22"/>
        </w:rPr>
        <w:t xml:space="preserve">Pertenece a la familia </w:t>
      </w:r>
      <w:r w:rsidR="00DD6B27">
        <w:rPr>
          <w:sz w:val="22"/>
          <w:szCs w:val="22"/>
        </w:rPr>
        <w:t xml:space="preserve">“arcillosa fina, </w:t>
      </w:r>
      <w:r w:rsidR="00C86325">
        <w:rPr>
          <w:sz w:val="22"/>
          <w:szCs w:val="22"/>
        </w:rPr>
        <w:t>mixta, no calcárea, térmica</w:t>
      </w:r>
      <w:r w:rsidR="00DD6B27">
        <w:rPr>
          <w:sz w:val="22"/>
          <w:szCs w:val="22"/>
        </w:rPr>
        <w:t>”</w:t>
      </w:r>
      <w:r w:rsidRPr="00A464BE">
        <w:rPr>
          <w:sz w:val="22"/>
          <w:szCs w:val="22"/>
        </w:rPr>
        <w:t xml:space="preserve"> de los </w:t>
      </w:r>
      <w:proofErr w:type="spellStart"/>
      <w:r w:rsidR="00522E2C" w:rsidRPr="00522E2C">
        <w:rPr>
          <w:sz w:val="22"/>
          <w:szCs w:val="22"/>
          <w:u w:val="single"/>
        </w:rPr>
        <w:t>Argi</w:t>
      </w:r>
      <w:r w:rsidR="005722ED">
        <w:rPr>
          <w:sz w:val="22"/>
          <w:szCs w:val="22"/>
          <w:u w:val="single"/>
        </w:rPr>
        <w:t>ud</w:t>
      </w:r>
      <w:r w:rsidR="00522E2C" w:rsidRPr="00522E2C">
        <w:rPr>
          <w:sz w:val="22"/>
          <w:szCs w:val="22"/>
          <w:u w:val="single"/>
        </w:rPr>
        <w:t>oles</w:t>
      </w:r>
      <w:proofErr w:type="spellEnd"/>
      <w:r w:rsidRPr="00522E2C">
        <w:rPr>
          <w:sz w:val="22"/>
          <w:szCs w:val="22"/>
          <w:u w:val="single"/>
        </w:rPr>
        <w:t xml:space="preserve"> </w:t>
      </w:r>
      <w:proofErr w:type="spellStart"/>
      <w:r w:rsidR="005722ED">
        <w:rPr>
          <w:sz w:val="22"/>
          <w:szCs w:val="22"/>
          <w:u w:val="single"/>
        </w:rPr>
        <w:t>ácui</w:t>
      </w:r>
      <w:r w:rsidR="00522E2C" w:rsidRPr="00522E2C">
        <w:rPr>
          <w:sz w:val="22"/>
          <w:szCs w:val="22"/>
          <w:u w:val="single"/>
        </w:rPr>
        <w:t>c</w:t>
      </w:r>
      <w:r w:rsidRPr="00522E2C">
        <w:rPr>
          <w:sz w:val="22"/>
          <w:szCs w:val="22"/>
          <w:u w:val="single"/>
        </w:rPr>
        <w:t>os</w:t>
      </w:r>
      <w:proofErr w:type="spellEnd"/>
      <w:r w:rsidRPr="00522E2C">
        <w:rPr>
          <w:sz w:val="22"/>
          <w:szCs w:val="22"/>
        </w:rPr>
        <w:t>.</w:t>
      </w:r>
    </w:p>
    <w:p w:rsidR="00F90D9C" w:rsidRPr="00A464BE" w:rsidRDefault="00F90D9C" w:rsidP="00A464BE">
      <w:pPr>
        <w:jc w:val="both"/>
        <w:rPr>
          <w:sz w:val="22"/>
          <w:szCs w:val="22"/>
        </w:rPr>
      </w:pPr>
    </w:p>
    <w:p w:rsidR="00233EB7" w:rsidRPr="00233EB7" w:rsidRDefault="00233EB7" w:rsidP="00233EB7">
      <w:pPr>
        <w:jc w:val="both"/>
        <w:rPr>
          <w:sz w:val="22"/>
          <w:szCs w:val="22"/>
          <w:lang w:val="es-ES_tradnl"/>
        </w:rPr>
      </w:pPr>
      <w:r w:rsidRPr="00233EB7">
        <w:rPr>
          <w:sz w:val="22"/>
          <w:szCs w:val="22"/>
          <w:lang w:val="es-ES_tradnl"/>
        </w:rPr>
        <w:t xml:space="preserve">El suelo que caracteriza a la serie Millán es oscuro y moderadamente bien drenado. Se localiza en un paisaje suavemente ondulado, con pendientes muy largas </w:t>
      </w:r>
      <w:r w:rsidR="003F31AB">
        <w:rPr>
          <w:sz w:val="22"/>
          <w:szCs w:val="22"/>
          <w:lang w:val="es-ES_tradnl"/>
        </w:rPr>
        <w:t>(aproximadamente llegan hasta 4</w:t>
      </w:r>
      <w:r w:rsidRPr="00233EB7">
        <w:rPr>
          <w:sz w:val="22"/>
          <w:szCs w:val="22"/>
          <w:lang w:val="es-ES_tradnl"/>
        </w:rPr>
        <w:t>000 m) a</w:t>
      </w:r>
      <w:r w:rsidR="003F31AB">
        <w:rPr>
          <w:sz w:val="22"/>
          <w:szCs w:val="22"/>
          <w:lang w:val="es-ES_tradnl"/>
        </w:rPr>
        <w:t>l</w:t>
      </w:r>
      <w:r w:rsidRPr="00233EB7">
        <w:rPr>
          <w:sz w:val="22"/>
          <w:szCs w:val="22"/>
          <w:lang w:val="es-ES_tradnl"/>
        </w:rPr>
        <w:t xml:space="preserve"> </w:t>
      </w:r>
      <w:r w:rsidR="003F31AB">
        <w:rPr>
          <w:sz w:val="22"/>
          <w:szCs w:val="22"/>
          <w:lang w:val="es-ES_tradnl"/>
        </w:rPr>
        <w:t>norte</w:t>
      </w:r>
      <w:r w:rsidRPr="00233EB7">
        <w:rPr>
          <w:sz w:val="22"/>
          <w:szCs w:val="22"/>
          <w:lang w:val="es-ES_tradnl"/>
        </w:rPr>
        <w:t xml:space="preserve"> del departamento, específicamente, en las pendientes hacia el río </w:t>
      </w:r>
      <w:proofErr w:type="spellStart"/>
      <w:r w:rsidRPr="00233EB7">
        <w:rPr>
          <w:sz w:val="22"/>
          <w:szCs w:val="22"/>
          <w:lang w:val="es-ES_tradnl"/>
        </w:rPr>
        <w:t>Guayquiraró</w:t>
      </w:r>
      <w:proofErr w:type="spellEnd"/>
      <w:r w:rsidRPr="00233EB7">
        <w:rPr>
          <w:sz w:val="22"/>
          <w:szCs w:val="22"/>
          <w:lang w:val="es-ES_tradnl"/>
        </w:rPr>
        <w:t xml:space="preserve"> entre el arroyo Mesa y tributarios menores del primero.</w:t>
      </w:r>
    </w:p>
    <w:p w:rsidR="00233EB7" w:rsidRPr="00233EB7" w:rsidRDefault="00233EB7" w:rsidP="00233EB7">
      <w:pPr>
        <w:jc w:val="both"/>
        <w:rPr>
          <w:sz w:val="22"/>
          <w:szCs w:val="22"/>
          <w:lang w:val="es-ES_tradnl"/>
        </w:rPr>
      </w:pPr>
      <w:r w:rsidRPr="00233EB7">
        <w:rPr>
          <w:sz w:val="22"/>
          <w:szCs w:val="22"/>
          <w:lang w:val="es-ES_tradnl"/>
        </w:rPr>
        <w:t>Las intensidades de las pendientes no superan el 2 %. Normalmente se encuentran cubiertos con abundante vegetación que incluye una buena cobertura de gramíneas y leguminosas, bajo monte abierto de algarrobo y tala entre otras especies.</w:t>
      </w:r>
    </w:p>
    <w:p w:rsidR="00B52043" w:rsidRPr="00A464BE" w:rsidRDefault="00233EB7" w:rsidP="00233EB7">
      <w:pPr>
        <w:jc w:val="both"/>
        <w:rPr>
          <w:sz w:val="22"/>
          <w:szCs w:val="22"/>
          <w:lang w:val="es-ES_tradnl"/>
        </w:rPr>
      </w:pPr>
      <w:r w:rsidRPr="00233EB7">
        <w:rPr>
          <w:sz w:val="22"/>
          <w:szCs w:val="22"/>
          <w:lang w:val="es-ES_tradnl"/>
        </w:rPr>
        <w:t>El material original de este suelo está constituido por limos calcáreos (</w:t>
      </w:r>
      <w:proofErr w:type="spellStart"/>
      <w:r w:rsidRPr="00233EB7">
        <w:rPr>
          <w:sz w:val="22"/>
          <w:szCs w:val="22"/>
          <w:lang w:val="es-ES_tradnl"/>
        </w:rPr>
        <w:t>loessoides</w:t>
      </w:r>
      <w:proofErr w:type="spellEnd"/>
      <w:r w:rsidRPr="00233EB7">
        <w:rPr>
          <w:sz w:val="22"/>
          <w:szCs w:val="22"/>
          <w:lang w:val="es-ES_tradnl"/>
        </w:rPr>
        <w:t>) de colores claros.</w:t>
      </w:r>
    </w:p>
    <w:p w:rsidR="00F90D9C" w:rsidRDefault="00F90D9C" w:rsidP="00A464BE">
      <w:pPr>
        <w:jc w:val="both"/>
        <w:rPr>
          <w:sz w:val="22"/>
          <w:szCs w:val="22"/>
          <w:lang w:val="es-ES_tradnl"/>
        </w:rPr>
      </w:pPr>
    </w:p>
    <w:p w:rsidR="00233EB7" w:rsidRPr="00A464BE" w:rsidRDefault="00233EB7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677ED8">
        <w:rPr>
          <w:spacing w:val="-1"/>
          <w:sz w:val="22"/>
          <w:szCs w:val="22"/>
          <w:lang w:val="es-ES_tradnl"/>
        </w:rPr>
        <w:t>ER3</w:t>
      </w:r>
      <w:r w:rsidR="00677ED8" w:rsidRPr="00677ED8">
        <w:rPr>
          <w:spacing w:val="-1"/>
          <w:sz w:val="22"/>
          <w:szCs w:val="22"/>
          <w:lang w:val="es-ES_tradnl"/>
        </w:rPr>
        <w:t>-</w:t>
      </w:r>
      <w:r w:rsidR="005722ED">
        <w:rPr>
          <w:spacing w:val="-1"/>
          <w:sz w:val="22"/>
          <w:szCs w:val="22"/>
          <w:lang w:val="es-ES_tradnl"/>
        </w:rPr>
        <w:t>61</w:t>
      </w:r>
      <w:r w:rsidR="00677ED8" w:rsidRPr="00677ED8">
        <w:rPr>
          <w:spacing w:val="-1"/>
          <w:sz w:val="22"/>
          <w:szCs w:val="22"/>
          <w:lang w:val="es-ES_tradnl"/>
        </w:rPr>
        <w:t>C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Fecha: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3F31AB" w:rsidRPr="003F31AB">
        <w:rPr>
          <w:spacing w:val="-1"/>
          <w:sz w:val="22"/>
          <w:szCs w:val="22"/>
          <w:lang w:val="es-ES_tradnl"/>
        </w:rPr>
        <w:t>-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Ubicación: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5722ED" w:rsidRPr="005722ED">
        <w:rPr>
          <w:sz w:val="22"/>
          <w:szCs w:val="22"/>
          <w:lang w:val="es-ES_tradnl"/>
        </w:rPr>
        <w:t>27</w:t>
      </w:r>
      <w:r w:rsidR="00C138CA">
        <w:rPr>
          <w:sz w:val="22"/>
          <w:szCs w:val="22"/>
          <w:lang w:val="es-ES_tradnl"/>
        </w:rPr>
        <w:t xml:space="preserve"> </w:t>
      </w:r>
      <w:r w:rsidR="00C86325">
        <w:rPr>
          <w:sz w:val="22"/>
          <w:szCs w:val="22"/>
          <w:lang w:val="es-ES_tradnl"/>
        </w:rPr>
        <w:t>k</w:t>
      </w:r>
      <w:bookmarkStart w:id="0" w:name="_GoBack"/>
      <w:bookmarkEnd w:id="0"/>
      <w:r w:rsidR="005722ED" w:rsidRPr="005722ED">
        <w:rPr>
          <w:sz w:val="22"/>
          <w:szCs w:val="22"/>
          <w:lang w:val="es-ES_tradnl"/>
        </w:rPr>
        <w:t>m al NE de la ciudad de Feliciano - Dpto. Feliciano</w:t>
      </w:r>
      <w:r w:rsidR="00677ED8" w:rsidRPr="00677ED8">
        <w:rPr>
          <w:sz w:val="22"/>
          <w:szCs w:val="22"/>
          <w:lang w:val="es-ES_tradnl"/>
        </w:rPr>
        <w:t>.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Reconocedores: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3A6D9F">
        <w:rPr>
          <w:spacing w:val="-1"/>
          <w:sz w:val="22"/>
          <w:szCs w:val="22"/>
          <w:lang w:val="es-ES_tradnl"/>
        </w:rPr>
        <w:t xml:space="preserve">R.E. </w:t>
      </w:r>
      <w:proofErr w:type="spellStart"/>
      <w:r w:rsidR="003A6D9F">
        <w:rPr>
          <w:spacing w:val="-1"/>
          <w:sz w:val="22"/>
          <w:szCs w:val="22"/>
          <w:lang w:val="es-ES_tradnl"/>
        </w:rPr>
        <w:t>Kleinernan</w:t>
      </w:r>
      <w:proofErr w:type="spellEnd"/>
      <w:r w:rsidR="003A6D9F">
        <w:rPr>
          <w:spacing w:val="-1"/>
          <w:sz w:val="22"/>
          <w:szCs w:val="22"/>
          <w:lang w:val="es-ES_tradnl"/>
        </w:rPr>
        <w:t xml:space="preserve">; </w:t>
      </w:r>
      <w:r w:rsidR="003A6D9F" w:rsidRPr="00656264">
        <w:rPr>
          <w:spacing w:val="-1"/>
          <w:sz w:val="22"/>
          <w:szCs w:val="22"/>
          <w:lang w:val="es-ES_tradnl"/>
        </w:rPr>
        <w:t xml:space="preserve">G.W. van </w:t>
      </w:r>
      <w:proofErr w:type="spellStart"/>
      <w:r w:rsidR="003A6D9F" w:rsidRPr="00656264">
        <w:rPr>
          <w:spacing w:val="-1"/>
          <w:sz w:val="22"/>
          <w:szCs w:val="22"/>
          <w:lang w:val="es-ES_tradnl"/>
        </w:rPr>
        <w:t>Barneveld</w:t>
      </w:r>
      <w:proofErr w:type="spellEnd"/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</w:p>
    <w:p w:rsidR="005722ED" w:rsidRPr="005010B2" w:rsidRDefault="005722ED" w:rsidP="005722ED">
      <w:pPr>
        <w:jc w:val="both"/>
        <w:rPr>
          <w:sz w:val="22"/>
          <w:szCs w:val="22"/>
          <w:lang w:val="es-ES_tradnl"/>
        </w:rPr>
      </w:pPr>
      <w:r w:rsidRPr="005722ED">
        <w:rPr>
          <w:b/>
          <w:sz w:val="22"/>
          <w:szCs w:val="22"/>
          <w:lang w:val="es-ES_tradnl"/>
        </w:rPr>
        <w:t>A11:</w:t>
      </w:r>
      <w:r w:rsidR="005010B2">
        <w:rPr>
          <w:b/>
          <w:sz w:val="22"/>
          <w:szCs w:val="22"/>
          <w:lang w:val="es-ES_tradnl"/>
        </w:rPr>
        <w:t xml:space="preserve"> </w:t>
      </w:r>
      <w:r w:rsidRPr="005010B2">
        <w:rPr>
          <w:sz w:val="22"/>
          <w:szCs w:val="22"/>
          <w:lang w:val="es-ES_tradnl"/>
        </w:rPr>
        <w:t xml:space="preserve">00-12 cm.; gris muy oscuro (10 YR 3/1) en húmedo; franco arcillo limoso; estructura granular y en bloques </w:t>
      </w:r>
      <w:proofErr w:type="spellStart"/>
      <w:r w:rsidRPr="005010B2">
        <w:rPr>
          <w:sz w:val="22"/>
          <w:szCs w:val="22"/>
          <w:lang w:val="es-ES_tradnl"/>
        </w:rPr>
        <w:t>subangulares</w:t>
      </w:r>
      <w:proofErr w:type="spellEnd"/>
      <w:r w:rsidRPr="005010B2">
        <w:rPr>
          <w:sz w:val="22"/>
          <w:szCs w:val="22"/>
          <w:lang w:val="es-ES_tradnl"/>
        </w:rPr>
        <w:t xml:space="preserve"> medios débiles; friable en húmedo; ligeramente adhesivo; barnices (“</w:t>
      </w:r>
      <w:proofErr w:type="spellStart"/>
      <w:r w:rsidRPr="005010B2">
        <w:rPr>
          <w:sz w:val="22"/>
          <w:szCs w:val="22"/>
          <w:lang w:val="es-ES_tradnl"/>
        </w:rPr>
        <w:t>humic</w:t>
      </w:r>
      <w:proofErr w:type="spellEnd"/>
      <w:r w:rsidRPr="005010B2">
        <w:rPr>
          <w:sz w:val="22"/>
          <w:szCs w:val="22"/>
          <w:lang w:val="es-ES_tradnl"/>
        </w:rPr>
        <w:t xml:space="preserve"> </w:t>
      </w:r>
      <w:proofErr w:type="spellStart"/>
      <w:r w:rsidRPr="005010B2">
        <w:rPr>
          <w:sz w:val="22"/>
          <w:szCs w:val="22"/>
          <w:lang w:val="es-ES_tradnl"/>
        </w:rPr>
        <w:t>skins</w:t>
      </w:r>
      <w:proofErr w:type="spellEnd"/>
      <w:r w:rsidRPr="005010B2">
        <w:rPr>
          <w:sz w:val="22"/>
          <w:szCs w:val="22"/>
          <w:lang w:val="es-ES_tradnl"/>
        </w:rPr>
        <w:t>”) escasos; moteados escasos, finos, débiles; horizonte débilmente lixiviado; límite inferior claro suave.</w:t>
      </w:r>
    </w:p>
    <w:p w:rsidR="005722ED" w:rsidRPr="005722ED" w:rsidRDefault="005722ED" w:rsidP="005722ED">
      <w:pPr>
        <w:jc w:val="both"/>
        <w:rPr>
          <w:b/>
          <w:sz w:val="22"/>
          <w:szCs w:val="22"/>
          <w:lang w:val="es-ES_tradnl"/>
        </w:rPr>
      </w:pPr>
    </w:p>
    <w:p w:rsidR="005722ED" w:rsidRPr="005010B2" w:rsidRDefault="005722ED" w:rsidP="005722ED">
      <w:pPr>
        <w:jc w:val="both"/>
        <w:rPr>
          <w:sz w:val="22"/>
          <w:szCs w:val="22"/>
          <w:lang w:val="es-ES_tradnl"/>
        </w:rPr>
      </w:pPr>
      <w:r w:rsidRPr="005722ED">
        <w:rPr>
          <w:b/>
          <w:sz w:val="22"/>
          <w:szCs w:val="22"/>
          <w:lang w:val="es-ES_tradnl"/>
        </w:rPr>
        <w:t>A12:</w:t>
      </w:r>
      <w:r w:rsidR="005010B2">
        <w:rPr>
          <w:b/>
          <w:sz w:val="22"/>
          <w:szCs w:val="22"/>
          <w:lang w:val="es-ES_tradnl"/>
        </w:rPr>
        <w:t xml:space="preserve"> </w:t>
      </w:r>
      <w:r w:rsidRPr="005010B2">
        <w:rPr>
          <w:sz w:val="22"/>
          <w:szCs w:val="22"/>
          <w:lang w:val="es-ES_tradnl"/>
        </w:rPr>
        <w:t xml:space="preserve">12-29 cm.; negro (10 YR 2.5/1) en húmedo; franco arcillo limoso; estructura granular y en bloques </w:t>
      </w:r>
      <w:proofErr w:type="spellStart"/>
      <w:r w:rsidRPr="005010B2">
        <w:rPr>
          <w:sz w:val="22"/>
          <w:szCs w:val="22"/>
          <w:lang w:val="es-ES_tradnl"/>
        </w:rPr>
        <w:t>subangulares</w:t>
      </w:r>
      <w:proofErr w:type="spellEnd"/>
      <w:r w:rsidRPr="005010B2">
        <w:rPr>
          <w:sz w:val="22"/>
          <w:szCs w:val="22"/>
          <w:lang w:val="es-ES_tradnl"/>
        </w:rPr>
        <w:t xml:space="preserve"> medios débiles; friable en húmedo; plástico, ligeramente adhesivo; escasas concreciones de hierro y manganeso finas; barnices (“</w:t>
      </w:r>
      <w:proofErr w:type="spellStart"/>
      <w:r w:rsidRPr="005010B2">
        <w:rPr>
          <w:sz w:val="22"/>
          <w:szCs w:val="22"/>
          <w:lang w:val="es-ES_tradnl"/>
        </w:rPr>
        <w:t>humic</w:t>
      </w:r>
      <w:proofErr w:type="spellEnd"/>
      <w:r w:rsidRPr="005010B2">
        <w:rPr>
          <w:sz w:val="22"/>
          <w:szCs w:val="22"/>
          <w:lang w:val="es-ES_tradnl"/>
        </w:rPr>
        <w:t xml:space="preserve"> </w:t>
      </w:r>
      <w:proofErr w:type="spellStart"/>
      <w:r w:rsidRPr="005010B2">
        <w:rPr>
          <w:sz w:val="22"/>
          <w:szCs w:val="22"/>
          <w:lang w:val="es-ES_tradnl"/>
        </w:rPr>
        <w:t>skins</w:t>
      </w:r>
      <w:proofErr w:type="spellEnd"/>
      <w:r w:rsidRPr="005010B2">
        <w:rPr>
          <w:sz w:val="22"/>
          <w:szCs w:val="22"/>
          <w:lang w:val="es-ES_tradnl"/>
        </w:rPr>
        <w:t>”) escasos a comunes; moteados escasos, precisos, finos; límite inferior claro suave.</w:t>
      </w:r>
    </w:p>
    <w:p w:rsidR="005722ED" w:rsidRPr="005722ED" w:rsidRDefault="005722ED" w:rsidP="005722ED">
      <w:pPr>
        <w:jc w:val="both"/>
        <w:rPr>
          <w:b/>
          <w:sz w:val="22"/>
          <w:szCs w:val="22"/>
          <w:lang w:val="es-ES_tradnl"/>
        </w:rPr>
      </w:pPr>
    </w:p>
    <w:p w:rsidR="005722ED" w:rsidRPr="005010B2" w:rsidRDefault="005722ED" w:rsidP="005722ED">
      <w:pPr>
        <w:jc w:val="both"/>
        <w:rPr>
          <w:sz w:val="22"/>
          <w:szCs w:val="22"/>
          <w:lang w:val="es-ES_tradnl"/>
        </w:rPr>
      </w:pPr>
      <w:r w:rsidRPr="005722ED">
        <w:rPr>
          <w:b/>
          <w:sz w:val="22"/>
          <w:szCs w:val="22"/>
          <w:lang w:val="es-ES_tradnl"/>
        </w:rPr>
        <w:t>B21:</w:t>
      </w:r>
      <w:r w:rsidR="005010B2">
        <w:rPr>
          <w:b/>
          <w:sz w:val="22"/>
          <w:szCs w:val="22"/>
          <w:lang w:val="es-ES_tradnl"/>
        </w:rPr>
        <w:t xml:space="preserve"> </w:t>
      </w:r>
      <w:r w:rsidRPr="005010B2">
        <w:rPr>
          <w:sz w:val="22"/>
          <w:szCs w:val="22"/>
          <w:lang w:val="es-ES_tradnl"/>
        </w:rPr>
        <w:t>29-56 cm;</w:t>
      </w:r>
      <w:r w:rsidR="005010B2">
        <w:rPr>
          <w:sz w:val="22"/>
          <w:szCs w:val="22"/>
          <w:lang w:val="es-ES_tradnl"/>
        </w:rPr>
        <w:t xml:space="preserve"> </w:t>
      </w:r>
      <w:r w:rsidRPr="005010B2">
        <w:rPr>
          <w:sz w:val="22"/>
          <w:szCs w:val="22"/>
          <w:lang w:val="es-ES_tradnl"/>
        </w:rPr>
        <w:t xml:space="preserve">gris muy oscuro (10 YR 3/1) en húmedo; franco arcillo limoso; estructura en prismas compuestos irregulares medios moderados, que rompen en bloques </w:t>
      </w:r>
      <w:proofErr w:type="spellStart"/>
      <w:r w:rsidRPr="005010B2">
        <w:rPr>
          <w:sz w:val="22"/>
          <w:szCs w:val="22"/>
          <w:lang w:val="es-ES_tradnl"/>
        </w:rPr>
        <w:t>subangulares</w:t>
      </w:r>
      <w:proofErr w:type="spellEnd"/>
      <w:r w:rsidRPr="005010B2">
        <w:rPr>
          <w:sz w:val="22"/>
          <w:szCs w:val="22"/>
          <w:lang w:val="es-ES_tradnl"/>
        </w:rPr>
        <w:t xml:space="preserve"> medios moderados; firme en húmedo; muy plástico, adhesivo; escasas concreciones de hierro manganeso; barnices (“</w:t>
      </w:r>
      <w:proofErr w:type="spellStart"/>
      <w:r w:rsidRPr="005010B2">
        <w:rPr>
          <w:sz w:val="22"/>
          <w:szCs w:val="22"/>
          <w:lang w:val="es-ES_tradnl"/>
        </w:rPr>
        <w:t>clay</w:t>
      </w:r>
      <w:proofErr w:type="spellEnd"/>
      <w:r w:rsidRPr="005010B2">
        <w:rPr>
          <w:sz w:val="22"/>
          <w:szCs w:val="22"/>
          <w:lang w:val="es-ES_tradnl"/>
        </w:rPr>
        <w:t xml:space="preserve"> </w:t>
      </w:r>
      <w:proofErr w:type="spellStart"/>
      <w:r w:rsidRPr="005010B2">
        <w:rPr>
          <w:sz w:val="22"/>
          <w:szCs w:val="22"/>
          <w:lang w:val="es-ES_tradnl"/>
        </w:rPr>
        <w:t>skins</w:t>
      </w:r>
      <w:proofErr w:type="spellEnd"/>
      <w:r w:rsidRPr="005010B2">
        <w:rPr>
          <w:sz w:val="22"/>
          <w:szCs w:val="22"/>
          <w:lang w:val="es-ES_tradnl"/>
        </w:rPr>
        <w:t>”) escasos, finos; caras de fricción (“</w:t>
      </w:r>
      <w:proofErr w:type="spellStart"/>
      <w:r w:rsidRPr="005010B2">
        <w:rPr>
          <w:sz w:val="22"/>
          <w:szCs w:val="22"/>
          <w:lang w:val="es-ES_tradnl"/>
        </w:rPr>
        <w:t>slickensides</w:t>
      </w:r>
      <w:proofErr w:type="spellEnd"/>
      <w:r w:rsidRPr="005010B2">
        <w:rPr>
          <w:sz w:val="22"/>
          <w:szCs w:val="22"/>
          <w:lang w:val="es-ES_tradnl"/>
        </w:rPr>
        <w:t>”) escasas, finas; moteados escasos, finos, precisos; límite inferior claro suave.</w:t>
      </w:r>
    </w:p>
    <w:p w:rsidR="005010B2" w:rsidRPr="005722ED" w:rsidRDefault="005010B2" w:rsidP="005722ED">
      <w:pPr>
        <w:jc w:val="both"/>
        <w:rPr>
          <w:b/>
          <w:sz w:val="22"/>
          <w:szCs w:val="22"/>
          <w:lang w:val="es-ES_tradnl"/>
        </w:rPr>
      </w:pPr>
    </w:p>
    <w:p w:rsidR="005722ED" w:rsidRPr="005010B2" w:rsidRDefault="005722ED" w:rsidP="005722ED">
      <w:pPr>
        <w:jc w:val="both"/>
        <w:rPr>
          <w:sz w:val="22"/>
          <w:szCs w:val="22"/>
          <w:lang w:val="es-ES_tradnl"/>
        </w:rPr>
      </w:pPr>
      <w:r w:rsidRPr="005722ED">
        <w:rPr>
          <w:b/>
          <w:sz w:val="22"/>
          <w:szCs w:val="22"/>
          <w:lang w:val="es-ES_tradnl"/>
        </w:rPr>
        <w:t>B22:</w:t>
      </w:r>
      <w:r w:rsidR="005010B2">
        <w:rPr>
          <w:b/>
          <w:sz w:val="22"/>
          <w:szCs w:val="22"/>
          <w:lang w:val="es-ES_tradnl"/>
        </w:rPr>
        <w:t xml:space="preserve"> </w:t>
      </w:r>
      <w:r w:rsidRPr="005010B2">
        <w:rPr>
          <w:sz w:val="22"/>
          <w:szCs w:val="22"/>
          <w:lang w:val="es-ES_tradnl"/>
        </w:rPr>
        <w:t xml:space="preserve">56-74 cm.; gris muy oscuro (10 YR 3/1) en húmedo; arcillo limoso; estructura en prismas  compuestos irregulares medios débiles, que rompen en bloques </w:t>
      </w:r>
      <w:proofErr w:type="spellStart"/>
      <w:r w:rsidRPr="005010B2">
        <w:rPr>
          <w:sz w:val="22"/>
          <w:szCs w:val="22"/>
          <w:lang w:val="es-ES_tradnl"/>
        </w:rPr>
        <w:t>subangulares</w:t>
      </w:r>
      <w:proofErr w:type="spellEnd"/>
      <w:r w:rsidRPr="005010B2">
        <w:rPr>
          <w:sz w:val="22"/>
          <w:szCs w:val="22"/>
          <w:lang w:val="es-ES_tradnl"/>
        </w:rPr>
        <w:t xml:space="preserve"> medios moderados; firme en húmedo; muy plástico, adhesivo; escasa cantidad de calcáreo disperso; concreciones calcáreas y de hierro y manganeso comunes; barnices (“</w:t>
      </w:r>
      <w:proofErr w:type="spellStart"/>
      <w:r w:rsidRPr="005010B2">
        <w:rPr>
          <w:sz w:val="22"/>
          <w:szCs w:val="22"/>
          <w:lang w:val="es-ES_tradnl"/>
        </w:rPr>
        <w:t>clay</w:t>
      </w:r>
      <w:proofErr w:type="spellEnd"/>
      <w:r w:rsidRPr="005010B2">
        <w:rPr>
          <w:sz w:val="22"/>
          <w:szCs w:val="22"/>
          <w:lang w:val="es-ES_tradnl"/>
        </w:rPr>
        <w:t xml:space="preserve"> </w:t>
      </w:r>
      <w:proofErr w:type="spellStart"/>
      <w:r w:rsidRPr="005010B2">
        <w:rPr>
          <w:sz w:val="22"/>
          <w:szCs w:val="22"/>
          <w:lang w:val="es-ES_tradnl"/>
        </w:rPr>
        <w:t>skins</w:t>
      </w:r>
      <w:proofErr w:type="spellEnd"/>
      <w:r w:rsidRPr="005010B2">
        <w:rPr>
          <w:sz w:val="22"/>
          <w:szCs w:val="22"/>
          <w:lang w:val="es-ES_tradnl"/>
        </w:rPr>
        <w:t>”) escasos; caras de fricción (“</w:t>
      </w:r>
      <w:proofErr w:type="spellStart"/>
      <w:r w:rsidRPr="005010B2">
        <w:rPr>
          <w:sz w:val="22"/>
          <w:szCs w:val="22"/>
          <w:lang w:val="es-ES_tradnl"/>
        </w:rPr>
        <w:t>slickensides</w:t>
      </w:r>
      <w:proofErr w:type="spellEnd"/>
      <w:r w:rsidRPr="005010B2">
        <w:rPr>
          <w:sz w:val="22"/>
          <w:szCs w:val="22"/>
          <w:lang w:val="es-ES_tradnl"/>
        </w:rPr>
        <w:t>”) comunes, finas; moteados escasos, finos, débiles; límite inferior claro suave.</w:t>
      </w:r>
    </w:p>
    <w:p w:rsidR="005722ED" w:rsidRPr="005722ED" w:rsidRDefault="005722ED" w:rsidP="005722ED">
      <w:pPr>
        <w:jc w:val="both"/>
        <w:rPr>
          <w:b/>
          <w:sz w:val="22"/>
          <w:szCs w:val="22"/>
          <w:lang w:val="es-ES_tradnl"/>
        </w:rPr>
      </w:pPr>
    </w:p>
    <w:p w:rsidR="00F90D9C" w:rsidRDefault="005722ED" w:rsidP="005722ED">
      <w:pPr>
        <w:jc w:val="both"/>
        <w:rPr>
          <w:sz w:val="22"/>
          <w:szCs w:val="22"/>
          <w:lang w:val="es-ES_tradnl"/>
        </w:rPr>
      </w:pPr>
      <w:r w:rsidRPr="005722ED">
        <w:rPr>
          <w:b/>
          <w:sz w:val="22"/>
          <w:szCs w:val="22"/>
          <w:lang w:val="es-ES_tradnl"/>
        </w:rPr>
        <w:t xml:space="preserve">B31ca: </w:t>
      </w:r>
      <w:r w:rsidRPr="005010B2">
        <w:rPr>
          <w:sz w:val="22"/>
          <w:szCs w:val="22"/>
          <w:lang w:val="es-ES_tradnl"/>
        </w:rPr>
        <w:t>74 cm. + (120); pardo grisáceo muy oscuro (10 YR 3/2) en húmedo; arcillo limoso; estructura en bloques angulares irregulares medios, débiles; firme en húmedo; plástico, adhesivo; moderada cantidad de calcáreo disperso; abundantes concreciones de hierro y manganeso; caras de fricción (“</w:t>
      </w:r>
      <w:proofErr w:type="spellStart"/>
      <w:r w:rsidRPr="005010B2">
        <w:rPr>
          <w:sz w:val="22"/>
          <w:szCs w:val="22"/>
          <w:lang w:val="es-ES_tradnl"/>
        </w:rPr>
        <w:t>slickensides</w:t>
      </w:r>
      <w:proofErr w:type="spellEnd"/>
      <w:r w:rsidRPr="005010B2">
        <w:rPr>
          <w:sz w:val="22"/>
          <w:szCs w:val="22"/>
          <w:lang w:val="es-ES_tradnl"/>
        </w:rPr>
        <w:t>”) escasas, finas; moteadas abundantes, finos y precisos.</w:t>
      </w:r>
    </w:p>
    <w:p w:rsidR="00677ED8" w:rsidRDefault="00677ED8" w:rsidP="00677ED8">
      <w:pPr>
        <w:jc w:val="both"/>
        <w:rPr>
          <w:sz w:val="22"/>
          <w:szCs w:val="22"/>
          <w:lang w:val="es-ES_tradnl"/>
        </w:rPr>
      </w:pPr>
    </w:p>
    <w:p w:rsidR="005722ED" w:rsidRPr="00A464BE" w:rsidRDefault="005722ED" w:rsidP="00677ED8">
      <w:pPr>
        <w:jc w:val="both"/>
        <w:rPr>
          <w:sz w:val="22"/>
          <w:szCs w:val="22"/>
          <w:lang w:val="es-ES_tradnl"/>
        </w:rPr>
      </w:pPr>
    </w:p>
    <w:p w:rsidR="00F93E83" w:rsidRDefault="00F93E83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highlight w:val="yellow"/>
          <w:u w:val="single"/>
          <w:lang w:val="es-ES_tradnl"/>
        </w:rPr>
      </w:pPr>
    </w:p>
    <w:p w:rsidR="00F90D9C" w:rsidRPr="00F93E83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93E83">
        <w:rPr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3E83" w:rsidRPr="00233EB7" w:rsidRDefault="00F93E83" w:rsidP="00F93E83">
      <w:pPr>
        <w:jc w:val="both"/>
        <w:rPr>
          <w:sz w:val="22"/>
          <w:szCs w:val="22"/>
          <w:lang w:val="es-ES_tradnl"/>
        </w:rPr>
      </w:pPr>
      <w:r w:rsidRPr="00233EB7">
        <w:rPr>
          <w:sz w:val="22"/>
          <w:szCs w:val="22"/>
          <w:lang w:val="es-ES_tradnl"/>
        </w:rPr>
        <w:t>Presentan un horizonte superior que varía entre 20-30 cm de espesor (existen fases someras de 15 cm), franco</w:t>
      </w:r>
      <w:r>
        <w:rPr>
          <w:sz w:val="22"/>
          <w:szCs w:val="22"/>
          <w:lang w:val="es-ES_tradnl"/>
        </w:rPr>
        <w:t>-</w:t>
      </w:r>
      <w:r w:rsidRPr="00233EB7">
        <w:rPr>
          <w:sz w:val="22"/>
          <w:szCs w:val="22"/>
          <w:lang w:val="es-ES_tradnl"/>
        </w:rPr>
        <w:t>limoso a franco</w:t>
      </w:r>
      <w:r>
        <w:rPr>
          <w:sz w:val="22"/>
          <w:szCs w:val="22"/>
          <w:lang w:val="es-ES_tradnl"/>
        </w:rPr>
        <w:t>-</w:t>
      </w:r>
      <w:r w:rsidRPr="00233EB7">
        <w:rPr>
          <w:sz w:val="22"/>
          <w:szCs w:val="22"/>
          <w:lang w:val="es-ES_tradnl"/>
        </w:rPr>
        <w:t>arcillo</w:t>
      </w:r>
      <w:r>
        <w:rPr>
          <w:sz w:val="22"/>
          <w:szCs w:val="22"/>
          <w:lang w:val="es-ES_tradnl"/>
        </w:rPr>
        <w:t>-</w:t>
      </w:r>
      <w:r w:rsidRPr="00233EB7">
        <w:rPr>
          <w:sz w:val="22"/>
          <w:szCs w:val="22"/>
          <w:lang w:val="es-ES_tradnl"/>
        </w:rPr>
        <w:t>limoso, algo lixiviado y con estructura en bloques. En algunos perfiles se observan escasas concreciones de hierro y manganeso, así como también escasos moteados de esos elementos.</w:t>
      </w:r>
    </w:p>
    <w:p w:rsidR="00F93E83" w:rsidRPr="00233EB7" w:rsidRDefault="00F93E83" w:rsidP="00F93E83">
      <w:pPr>
        <w:jc w:val="both"/>
        <w:rPr>
          <w:sz w:val="22"/>
          <w:szCs w:val="22"/>
          <w:lang w:val="es-ES_tradnl"/>
        </w:rPr>
      </w:pPr>
      <w:r w:rsidRPr="00233EB7">
        <w:rPr>
          <w:sz w:val="22"/>
          <w:szCs w:val="22"/>
          <w:lang w:val="es-ES_tradnl"/>
        </w:rPr>
        <w:t>Después de este horizonte se pasa a otro con tenores más elevados de arcilla (horizonte B2), con espesores que oscilan entre 30-50 cm; franco arcillo limoso y estructura de prismas débiles. En algunos casos aparecen concreciones calcáreas y siempre concreciones y moteados de hierro y manganeso. Es característica también la presencia de caras de fricción (“</w:t>
      </w:r>
      <w:proofErr w:type="spellStart"/>
      <w:r w:rsidRPr="00233EB7">
        <w:rPr>
          <w:sz w:val="22"/>
          <w:szCs w:val="22"/>
          <w:lang w:val="es-ES_tradnl"/>
        </w:rPr>
        <w:t>slickensides</w:t>
      </w:r>
      <w:proofErr w:type="spellEnd"/>
      <w:r w:rsidRPr="00233EB7">
        <w:rPr>
          <w:sz w:val="22"/>
          <w:szCs w:val="22"/>
          <w:lang w:val="es-ES_tradnl"/>
        </w:rPr>
        <w:t>”). El horizonte transicional (B3) algo más claro que los anteriores y con abundantes concreciones calcáreas y de hierro y manganeso es texturalmente arcillo limoso.</w:t>
      </w:r>
    </w:p>
    <w:p w:rsidR="00F90D9C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3E83" w:rsidRPr="00A464BE" w:rsidRDefault="00F93E83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F93E83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F93E83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F90D9C" w:rsidRPr="00F93E83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F93E83" w:rsidRDefault="00F93E83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F93E83">
        <w:rPr>
          <w:spacing w:val="-1"/>
          <w:sz w:val="22"/>
          <w:szCs w:val="22"/>
          <w:lang w:val="es-ES_tradnl"/>
        </w:rPr>
        <w:t>No presenta a escala de reconocimiento (1:100.000).</w:t>
      </w:r>
    </w:p>
    <w:p w:rsidR="00F93E83" w:rsidRDefault="00F93E83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3E83" w:rsidRPr="00A464BE" w:rsidRDefault="00F93E83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346F62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346F62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Default="005722ED" w:rsidP="00A464BE">
      <w:pPr>
        <w:tabs>
          <w:tab w:val="left" w:pos="-720"/>
        </w:tabs>
        <w:suppressAutoHyphens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</w:t>
      </w:r>
      <w:r w:rsidRPr="00233EB7">
        <w:rPr>
          <w:sz w:val="22"/>
          <w:szCs w:val="22"/>
          <w:lang w:val="es-ES_tradnl"/>
        </w:rPr>
        <w:t>oderadamente bien drenado</w:t>
      </w:r>
      <w:r>
        <w:rPr>
          <w:sz w:val="22"/>
          <w:szCs w:val="22"/>
          <w:lang w:val="es-ES_tradnl"/>
        </w:rPr>
        <w:t>.</w:t>
      </w:r>
    </w:p>
    <w:p w:rsidR="005722ED" w:rsidRDefault="005722ED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677ED8" w:rsidRPr="00A464BE" w:rsidRDefault="00677ED8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346F62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F90D9C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346F62" w:rsidRPr="00A464BE" w:rsidRDefault="00346F62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>
        <w:rPr>
          <w:spacing w:val="-1"/>
          <w:sz w:val="22"/>
          <w:szCs w:val="22"/>
          <w:lang w:val="es-ES_tradnl"/>
        </w:rPr>
        <w:t>La serie Millán presenta erosión actual leve y moderada susceptibilidad a la misma.</w:t>
      </w:r>
    </w:p>
    <w:p w:rsidR="00F90D9C" w:rsidRPr="00A464BE" w:rsidRDefault="00F90D9C" w:rsidP="003052A2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jc w:val="both"/>
        <w:rPr>
          <w:b/>
          <w:sz w:val="22"/>
          <w:szCs w:val="22"/>
          <w:u w:val="single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br w:type="page"/>
      </w: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t xml:space="preserve">Serie </w:t>
      </w:r>
      <w:r w:rsidR="005722ED">
        <w:rPr>
          <w:b/>
          <w:sz w:val="22"/>
          <w:szCs w:val="22"/>
          <w:u w:val="single"/>
          <w:lang w:val="es-ES_tradnl"/>
        </w:rPr>
        <w:t>Millán</w:t>
      </w:r>
    </w:p>
    <w:p w:rsidR="00F90D9C" w:rsidRPr="00A464BE" w:rsidRDefault="00F90D9C" w:rsidP="00A464BE">
      <w:pPr>
        <w:ind w:firstLine="567"/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415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"/>
        <w:gridCol w:w="776"/>
        <w:gridCol w:w="1385"/>
        <w:gridCol w:w="934"/>
        <w:gridCol w:w="934"/>
        <w:gridCol w:w="934"/>
        <w:gridCol w:w="933"/>
        <w:gridCol w:w="958"/>
      </w:tblGrid>
      <w:tr w:rsidR="00040EBA" w:rsidRPr="00A464BE" w:rsidTr="00C138CA">
        <w:tc>
          <w:tcPr>
            <w:tcW w:w="1855" w:type="pct"/>
            <w:gridSpan w:val="3"/>
          </w:tcPr>
          <w:p w:rsidR="00040EBA" w:rsidRPr="00A464BE" w:rsidRDefault="00040EBA" w:rsidP="005722ED">
            <w:pPr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ER3</w:t>
            </w:r>
            <w:r w:rsidRPr="00677ED8">
              <w:rPr>
                <w:spacing w:val="-1"/>
                <w:sz w:val="22"/>
                <w:szCs w:val="22"/>
                <w:lang w:val="es-ES_tradnl"/>
              </w:rPr>
              <w:t>-</w:t>
            </w:r>
            <w:r w:rsidR="005722ED">
              <w:rPr>
                <w:spacing w:val="-1"/>
                <w:sz w:val="22"/>
                <w:szCs w:val="22"/>
                <w:lang w:val="es-ES_tradnl"/>
              </w:rPr>
              <w:t>61</w:t>
            </w:r>
            <w:r w:rsidRPr="00677ED8">
              <w:rPr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26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2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</w:tr>
      <w:tr w:rsidR="00040EBA" w:rsidRPr="00A464BE" w:rsidTr="00C138CA">
        <w:tc>
          <w:tcPr>
            <w:tcW w:w="1855" w:type="pct"/>
            <w:gridSpan w:val="3"/>
          </w:tcPr>
          <w:p w:rsidR="00040EBA" w:rsidRPr="00F93E83" w:rsidRDefault="00040EBA" w:rsidP="00A464BE">
            <w:pPr>
              <w:jc w:val="both"/>
              <w:rPr>
                <w:sz w:val="22"/>
                <w:szCs w:val="22"/>
              </w:rPr>
            </w:pPr>
            <w:r w:rsidRPr="00F93E83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26" w:type="pct"/>
          </w:tcPr>
          <w:p w:rsidR="00040EBA" w:rsidRPr="00F93E83" w:rsidRDefault="00F93E83" w:rsidP="00040EBA">
            <w:pPr>
              <w:jc w:val="center"/>
              <w:rPr>
                <w:sz w:val="22"/>
                <w:szCs w:val="22"/>
              </w:rPr>
            </w:pPr>
            <w:r w:rsidRPr="00F93E83">
              <w:rPr>
                <w:sz w:val="22"/>
                <w:szCs w:val="22"/>
              </w:rPr>
              <w:t>2557</w:t>
            </w:r>
          </w:p>
        </w:tc>
        <w:tc>
          <w:tcPr>
            <w:tcW w:w="626" w:type="pct"/>
          </w:tcPr>
          <w:p w:rsidR="00040EBA" w:rsidRPr="00F93E83" w:rsidRDefault="00F93E83" w:rsidP="00040EBA">
            <w:pPr>
              <w:jc w:val="center"/>
              <w:rPr>
                <w:sz w:val="22"/>
                <w:szCs w:val="22"/>
              </w:rPr>
            </w:pPr>
            <w:r w:rsidRPr="00F93E83">
              <w:rPr>
                <w:sz w:val="22"/>
                <w:szCs w:val="22"/>
              </w:rPr>
              <w:t>2558</w:t>
            </w:r>
          </w:p>
        </w:tc>
        <w:tc>
          <w:tcPr>
            <w:tcW w:w="626" w:type="pct"/>
          </w:tcPr>
          <w:p w:rsidR="00040EBA" w:rsidRPr="00F93E83" w:rsidRDefault="00F93E83" w:rsidP="00040EBA">
            <w:pPr>
              <w:jc w:val="center"/>
              <w:rPr>
                <w:sz w:val="22"/>
                <w:szCs w:val="22"/>
              </w:rPr>
            </w:pPr>
            <w:r w:rsidRPr="00F93E83">
              <w:rPr>
                <w:sz w:val="22"/>
                <w:szCs w:val="22"/>
              </w:rPr>
              <w:t>2559</w:t>
            </w:r>
          </w:p>
        </w:tc>
        <w:tc>
          <w:tcPr>
            <w:tcW w:w="625" w:type="pct"/>
          </w:tcPr>
          <w:p w:rsidR="00040EBA" w:rsidRPr="00F93E83" w:rsidRDefault="00F93E83" w:rsidP="00040EBA">
            <w:pPr>
              <w:jc w:val="center"/>
              <w:rPr>
                <w:sz w:val="22"/>
                <w:szCs w:val="22"/>
              </w:rPr>
            </w:pPr>
            <w:r w:rsidRPr="00F93E83">
              <w:rPr>
                <w:sz w:val="22"/>
                <w:szCs w:val="22"/>
              </w:rPr>
              <w:t>2560</w:t>
            </w:r>
          </w:p>
        </w:tc>
        <w:tc>
          <w:tcPr>
            <w:tcW w:w="642" w:type="pct"/>
          </w:tcPr>
          <w:p w:rsidR="00040EBA" w:rsidRPr="00491182" w:rsidRDefault="00F93E83" w:rsidP="00040EBA">
            <w:pPr>
              <w:jc w:val="center"/>
              <w:rPr>
                <w:sz w:val="22"/>
                <w:szCs w:val="22"/>
              </w:rPr>
            </w:pPr>
            <w:r w:rsidRPr="00F93E83">
              <w:rPr>
                <w:sz w:val="22"/>
                <w:szCs w:val="22"/>
              </w:rPr>
              <w:t>2561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Horizonte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B22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B31ca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Profundidad (cm)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02-11</w:t>
            </w:r>
          </w:p>
        </w:tc>
        <w:tc>
          <w:tcPr>
            <w:tcW w:w="626" w:type="pct"/>
          </w:tcPr>
          <w:p w:rsidR="00C138CA" w:rsidRPr="00C138CA" w:rsidRDefault="00C138CA" w:rsidP="00F93E83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15-2</w:t>
            </w:r>
            <w:r w:rsidR="00F93E83">
              <w:rPr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31-45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56-71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74-85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Mat.orgánica</w:t>
            </w:r>
            <w:proofErr w:type="spellEnd"/>
            <w:r w:rsidRPr="00A464B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26" w:type="pct"/>
          </w:tcPr>
          <w:p w:rsidR="00C138CA" w:rsidRPr="00C138CA" w:rsidRDefault="00C138CA" w:rsidP="00F93E83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4.8</w:t>
            </w:r>
            <w:r w:rsidR="00F93E83">
              <w:rPr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3.09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1.72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1.48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0.17</w:t>
            </w:r>
          </w:p>
        </w:tc>
      </w:tr>
      <w:tr w:rsidR="00C138CA" w:rsidRPr="00A464BE" w:rsidTr="00C138CA">
        <w:trPr>
          <w:trHeight w:val="75"/>
        </w:trPr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 (%)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1.80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0.86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0.10</w:t>
            </w:r>
          </w:p>
        </w:tc>
      </w:tr>
      <w:tr w:rsidR="00C138CA" w:rsidRPr="00A464BE" w:rsidTr="00C138CA">
        <w:trPr>
          <w:trHeight w:val="75"/>
        </w:trPr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 (%)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0.15</w:t>
            </w:r>
          </w:p>
        </w:tc>
        <w:tc>
          <w:tcPr>
            <w:tcW w:w="642" w:type="pct"/>
          </w:tcPr>
          <w:p w:rsidR="00C138CA" w:rsidRPr="00C138CA" w:rsidRDefault="00C138CA" w:rsidP="00C138CA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138CA" w:rsidRPr="00A464BE" w:rsidTr="00C138CA">
        <w:trPr>
          <w:trHeight w:val="203"/>
        </w:trPr>
        <w:tc>
          <w:tcPr>
            <w:tcW w:w="1855" w:type="pct"/>
            <w:gridSpan w:val="3"/>
            <w:tcBorders>
              <w:bottom w:val="single" w:sz="6" w:space="0" w:color="auto"/>
            </w:tcBorders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642" w:type="pct"/>
            <w:tcBorders>
              <w:bottom w:val="single" w:sz="6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138CA" w:rsidRPr="00A464BE" w:rsidTr="00C138CA">
        <w:trPr>
          <w:trHeight w:val="268"/>
        </w:trPr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</w:p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       &lt;2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26.9</w:t>
            </w:r>
            <w:r w:rsidR="00F93E83">
              <w:rPr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26" w:type="pct"/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28.7</w:t>
            </w:r>
            <w:r w:rsidR="00F93E83">
              <w:rPr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26" w:type="pct"/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39.1</w:t>
            </w:r>
            <w:r w:rsidR="00F93E83">
              <w:rPr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25" w:type="pct"/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47.6</w:t>
            </w:r>
            <w:r w:rsidR="00F93E83">
              <w:rPr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642" w:type="pct"/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42.1</w:t>
            </w:r>
            <w:r w:rsidR="00F93E83">
              <w:rPr>
                <w:sz w:val="22"/>
                <w:szCs w:val="22"/>
                <w:lang w:val="es-ES_tradnl"/>
              </w:rPr>
              <w:t>0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E                           2-20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C138CA" w:rsidRPr="00C138CA" w:rsidRDefault="00F93E83" w:rsidP="00F93E83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35.04</w:t>
            </w:r>
          </w:p>
        </w:tc>
        <w:tc>
          <w:tcPr>
            <w:tcW w:w="626" w:type="pct"/>
          </w:tcPr>
          <w:p w:rsidR="00C138CA" w:rsidRPr="00C138CA" w:rsidRDefault="00F93E83" w:rsidP="00F93E83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35.09</w:t>
            </w:r>
          </w:p>
        </w:tc>
        <w:tc>
          <w:tcPr>
            <w:tcW w:w="626" w:type="pct"/>
          </w:tcPr>
          <w:p w:rsidR="00C138CA" w:rsidRPr="00C138CA" w:rsidRDefault="00F93E83" w:rsidP="00F93E83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29.29</w:t>
            </w:r>
          </w:p>
        </w:tc>
        <w:tc>
          <w:tcPr>
            <w:tcW w:w="625" w:type="pct"/>
          </w:tcPr>
          <w:p w:rsidR="00C138CA" w:rsidRPr="00C138CA" w:rsidRDefault="00F93E83" w:rsidP="00F93E83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24.15</w:t>
            </w:r>
          </w:p>
        </w:tc>
        <w:tc>
          <w:tcPr>
            <w:tcW w:w="642" w:type="pct"/>
          </w:tcPr>
          <w:p w:rsidR="00C138CA" w:rsidRPr="00C138CA" w:rsidRDefault="00F93E83" w:rsidP="00F93E83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27.39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X                          2-50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71.41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69.26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58.56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51.15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56.78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50-100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pStyle w:val="Encabezado"/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U                    100-250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0.46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0.31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0.24</w:t>
            </w:r>
          </w:p>
        </w:tc>
      </w:tr>
      <w:tr w:rsidR="00C138CA" w:rsidRPr="00A464BE" w:rsidTr="00C138CA">
        <w:tc>
          <w:tcPr>
            <w:tcW w:w="1855" w:type="pct"/>
            <w:gridSpan w:val="3"/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</w:rPr>
              <w:t>R                    2</w:t>
            </w:r>
            <w:r w:rsidRPr="00A464BE">
              <w:rPr>
                <w:sz w:val="22"/>
                <w:szCs w:val="22"/>
                <w:lang w:val="es-ES_tradnl"/>
              </w:rPr>
              <w:t xml:space="preserve">50-500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1.29</w:t>
            </w:r>
          </w:p>
        </w:tc>
        <w:tc>
          <w:tcPr>
            <w:tcW w:w="626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625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0.84</w:t>
            </w:r>
          </w:p>
        </w:tc>
        <w:tc>
          <w:tcPr>
            <w:tcW w:w="642" w:type="pct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0.78</w:t>
            </w:r>
          </w:p>
        </w:tc>
      </w:tr>
      <w:tr w:rsidR="00C138CA" w:rsidRPr="00A464BE" w:rsidTr="00C138CA">
        <w:tc>
          <w:tcPr>
            <w:tcW w:w="1855" w:type="pct"/>
            <w:gridSpan w:val="3"/>
            <w:tcBorders>
              <w:bottom w:val="single" w:sz="4" w:space="0" w:color="auto"/>
            </w:tcBorders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A                  500-1000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C138CA" w:rsidRPr="00A464BE" w:rsidTr="00C138CA">
        <w:tc>
          <w:tcPr>
            <w:tcW w:w="1855" w:type="pct"/>
            <w:gridSpan w:val="3"/>
            <w:tcBorders>
              <w:top w:val="single" w:sz="4" w:space="0" w:color="auto"/>
            </w:tcBorders>
          </w:tcPr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</w:p>
          <w:p w:rsidR="00C138CA" w:rsidRPr="00A464BE" w:rsidRDefault="00C138CA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CO3Ca (%)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2" w:type="pct"/>
            <w:tcBorders>
              <w:top w:val="single" w:sz="4" w:space="0" w:color="auto"/>
            </w:tcBorders>
            <w:vAlign w:val="bottom"/>
          </w:tcPr>
          <w:p w:rsidR="00C138CA" w:rsidRPr="00C138CA" w:rsidRDefault="00C138CA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8.2</w:t>
            </w:r>
          </w:p>
        </w:tc>
      </w:tr>
      <w:tr w:rsidR="00CC0A5F" w:rsidRPr="00A464BE" w:rsidTr="00C138CA">
        <w:tc>
          <w:tcPr>
            <w:tcW w:w="1855" w:type="pct"/>
            <w:gridSpan w:val="3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26" w:type="pct"/>
          </w:tcPr>
          <w:p w:rsidR="00CC0A5F" w:rsidRPr="00C138CA" w:rsidRDefault="00CC0A5F" w:rsidP="0035090E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626" w:type="pct"/>
          </w:tcPr>
          <w:p w:rsidR="00CC0A5F" w:rsidRPr="00C138CA" w:rsidRDefault="00CC0A5F" w:rsidP="0035090E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26" w:type="pct"/>
          </w:tcPr>
          <w:p w:rsidR="00CC0A5F" w:rsidRPr="00C138CA" w:rsidRDefault="00CC0A5F" w:rsidP="0035090E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625" w:type="pct"/>
          </w:tcPr>
          <w:p w:rsidR="00CC0A5F" w:rsidRPr="00C138CA" w:rsidRDefault="00CC0A5F" w:rsidP="0035090E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42" w:type="pct"/>
          </w:tcPr>
          <w:p w:rsidR="00CC0A5F" w:rsidRPr="00C138CA" w:rsidRDefault="00CC0A5F" w:rsidP="0035090E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CC0A5F" w:rsidRPr="00A464BE" w:rsidTr="00C138CA">
        <w:tc>
          <w:tcPr>
            <w:tcW w:w="1855" w:type="pct"/>
            <w:gridSpan w:val="3"/>
            <w:tcBorders>
              <w:bottom w:val="single" w:sz="6" w:space="0" w:color="auto"/>
            </w:tcBorders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464BE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CC0A5F" w:rsidRPr="00C138CA" w:rsidRDefault="00F93E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CC0A5F" w:rsidRPr="00C138CA" w:rsidRDefault="00F93E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CC0A5F" w:rsidRPr="00C138CA" w:rsidRDefault="00F93E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CC0A5F" w:rsidRPr="00C138CA" w:rsidRDefault="00F93E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642" w:type="pct"/>
            <w:tcBorders>
              <w:bottom w:val="single" w:sz="6" w:space="0" w:color="auto"/>
            </w:tcBorders>
          </w:tcPr>
          <w:p w:rsidR="00CC0A5F" w:rsidRPr="00C138CA" w:rsidRDefault="00F93E83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6.8</w:t>
            </w:r>
          </w:p>
        </w:tc>
      </w:tr>
      <w:tr w:rsidR="00CC0A5F" w:rsidRPr="00A464BE" w:rsidTr="00C138CA">
        <w:trPr>
          <w:trHeight w:val="640"/>
        </w:trPr>
        <w:tc>
          <w:tcPr>
            <w:tcW w:w="1855" w:type="pct"/>
            <w:gridSpan w:val="3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Capacidad de intercambio</w:t>
            </w:r>
          </w:p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catiónico (</w:t>
            </w:r>
            <w:proofErr w:type="spellStart"/>
            <w:r w:rsidRPr="00A464BE">
              <w:rPr>
                <w:sz w:val="22"/>
                <w:szCs w:val="22"/>
              </w:rPr>
              <w:t>m.e</w:t>
            </w:r>
            <w:proofErr w:type="spellEnd"/>
            <w:r w:rsidRPr="00A464BE">
              <w:rPr>
                <w:sz w:val="22"/>
                <w:szCs w:val="22"/>
              </w:rPr>
              <w:t>./100 g) =</w:t>
            </w:r>
          </w:p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Valor T</w:t>
            </w:r>
          </w:p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  <w:vAlign w:val="center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27.8</w:t>
            </w:r>
          </w:p>
        </w:tc>
        <w:tc>
          <w:tcPr>
            <w:tcW w:w="626" w:type="pct"/>
            <w:vAlign w:val="center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27.6</w:t>
            </w:r>
          </w:p>
        </w:tc>
        <w:tc>
          <w:tcPr>
            <w:tcW w:w="626" w:type="pct"/>
            <w:vAlign w:val="center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35.4</w:t>
            </w:r>
          </w:p>
        </w:tc>
        <w:tc>
          <w:tcPr>
            <w:tcW w:w="625" w:type="pct"/>
            <w:vAlign w:val="center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50.4</w:t>
            </w:r>
          </w:p>
        </w:tc>
        <w:tc>
          <w:tcPr>
            <w:tcW w:w="642" w:type="pct"/>
            <w:vAlign w:val="center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D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Ca++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17.0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18.4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26.0</w:t>
            </w:r>
          </w:p>
        </w:tc>
        <w:tc>
          <w:tcPr>
            <w:tcW w:w="625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37.6</w:t>
            </w:r>
          </w:p>
        </w:tc>
        <w:tc>
          <w:tcPr>
            <w:tcW w:w="642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2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Mg++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1.6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2.0</w:t>
            </w:r>
          </w:p>
        </w:tc>
        <w:tc>
          <w:tcPr>
            <w:tcW w:w="625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642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T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2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K+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0.47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0.38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0.68</w:t>
            </w:r>
          </w:p>
        </w:tc>
        <w:tc>
          <w:tcPr>
            <w:tcW w:w="625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n-US"/>
              </w:rPr>
              <w:t>0.87</w:t>
            </w:r>
          </w:p>
        </w:tc>
        <w:tc>
          <w:tcPr>
            <w:tcW w:w="642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2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B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Na</w:t>
            </w:r>
            <w:proofErr w:type="spellEnd"/>
            <w:r w:rsidRPr="00A464BE">
              <w:rPr>
                <w:sz w:val="22"/>
                <w:szCs w:val="22"/>
              </w:rPr>
              <w:t>+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0.18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0.62</w:t>
            </w:r>
          </w:p>
        </w:tc>
        <w:tc>
          <w:tcPr>
            <w:tcW w:w="625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642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2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S</w:t>
            </w: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H+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26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25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642" w:type="pct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ND</w:t>
            </w:r>
          </w:p>
        </w:tc>
      </w:tr>
      <w:tr w:rsidR="00CC0A5F" w:rsidRPr="00A464BE" w:rsidTr="00C138CA">
        <w:trPr>
          <w:cantSplit/>
        </w:trPr>
        <w:tc>
          <w:tcPr>
            <w:tcW w:w="407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0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5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42" w:type="pct"/>
          </w:tcPr>
          <w:p w:rsidR="00CC0A5F" w:rsidRPr="00C138CA" w:rsidRDefault="00CC0A5F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CC0A5F" w:rsidRPr="00A464BE" w:rsidTr="00C138CA">
        <w:trPr>
          <w:cantSplit/>
        </w:trPr>
        <w:tc>
          <w:tcPr>
            <w:tcW w:w="927" w:type="pct"/>
            <w:gridSpan w:val="2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>/T</w:t>
            </w:r>
          </w:p>
        </w:tc>
        <w:tc>
          <w:tcPr>
            <w:tcW w:w="928" w:type="pct"/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  <w:vAlign w:val="center"/>
          </w:tcPr>
          <w:p w:rsidR="00CC0A5F" w:rsidRDefault="00CC0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</w:t>
            </w:r>
          </w:p>
        </w:tc>
        <w:tc>
          <w:tcPr>
            <w:tcW w:w="626" w:type="pct"/>
            <w:vAlign w:val="center"/>
          </w:tcPr>
          <w:p w:rsidR="00CC0A5F" w:rsidRDefault="00CC0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1.45</w:t>
            </w:r>
          </w:p>
        </w:tc>
        <w:tc>
          <w:tcPr>
            <w:tcW w:w="626" w:type="pct"/>
            <w:vAlign w:val="center"/>
          </w:tcPr>
          <w:p w:rsidR="00CC0A5F" w:rsidRDefault="00CC0A5F" w:rsidP="004B0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1.75</w:t>
            </w:r>
          </w:p>
        </w:tc>
        <w:tc>
          <w:tcPr>
            <w:tcW w:w="625" w:type="pct"/>
            <w:vAlign w:val="center"/>
          </w:tcPr>
          <w:p w:rsidR="00CC0A5F" w:rsidRDefault="00CC0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1.83</w:t>
            </w:r>
          </w:p>
        </w:tc>
        <w:tc>
          <w:tcPr>
            <w:tcW w:w="642" w:type="pct"/>
            <w:vAlign w:val="center"/>
          </w:tcPr>
          <w:p w:rsidR="00CC0A5F" w:rsidRDefault="00CC0A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0.65</w:t>
            </w:r>
          </w:p>
        </w:tc>
      </w:tr>
      <w:tr w:rsidR="00CC0A5F" w:rsidRPr="00A464BE" w:rsidTr="00C138CA">
        <w:trPr>
          <w:cantSplit/>
        </w:trPr>
        <w:tc>
          <w:tcPr>
            <w:tcW w:w="1855" w:type="pct"/>
            <w:gridSpan w:val="3"/>
            <w:tcBorders>
              <w:top w:val="single" w:sz="4" w:space="0" w:color="auto"/>
            </w:tcBorders>
          </w:tcPr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</w:p>
          <w:p w:rsidR="00CC0A5F" w:rsidRPr="00A464BE" w:rsidRDefault="00CC0A5F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29.8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27.9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38.3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43.3</w:t>
            </w:r>
          </w:p>
        </w:tc>
        <w:tc>
          <w:tcPr>
            <w:tcW w:w="642" w:type="pct"/>
            <w:tcBorders>
              <w:top w:val="single" w:sz="4" w:space="0" w:color="auto"/>
            </w:tcBorders>
            <w:vAlign w:val="bottom"/>
          </w:tcPr>
          <w:p w:rsidR="00CC0A5F" w:rsidRPr="00C138CA" w:rsidRDefault="00CC0A5F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C138CA">
              <w:rPr>
                <w:sz w:val="22"/>
                <w:szCs w:val="22"/>
                <w:lang w:val="es-ES_tradnl"/>
              </w:rPr>
              <w:t>36.7</w:t>
            </w:r>
          </w:p>
        </w:tc>
      </w:tr>
    </w:tbl>
    <w:p w:rsidR="003743F0" w:rsidRPr="00F835FA" w:rsidRDefault="003743F0" w:rsidP="00E626DF">
      <w:pPr>
        <w:ind w:firstLine="567"/>
        <w:jc w:val="center"/>
        <w:rPr>
          <w:sz w:val="22"/>
          <w:szCs w:val="22"/>
        </w:rPr>
      </w:pPr>
    </w:p>
    <w:sectPr w:rsidR="003743F0" w:rsidRPr="00F835FA" w:rsidSect="003034D9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595" w:rsidRDefault="00824595" w:rsidP="003034D9">
      <w:r>
        <w:separator/>
      </w:r>
    </w:p>
  </w:endnote>
  <w:endnote w:type="continuationSeparator" w:id="0">
    <w:p w:rsidR="00824595" w:rsidRDefault="00824595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595" w:rsidRDefault="00824595" w:rsidP="003034D9">
      <w:r>
        <w:separator/>
      </w:r>
    </w:p>
  </w:footnote>
  <w:footnote w:type="continuationSeparator" w:id="0">
    <w:p w:rsidR="00824595" w:rsidRDefault="00824595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0370C9"/>
    <w:rsid w:val="00040EBA"/>
    <w:rsid w:val="000A3580"/>
    <w:rsid w:val="00133BEF"/>
    <w:rsid w:val="001627B8"/>
    <w:rsid w:val="001A2E44"/>
    <w:rsid w:val="001B2D8D"/>
    <w:rsid w:val="001D414C"/>
    <w:rsid w:val="00233EB7"/>
    <w:rsid w:val="00283350"/>
    <w:rsid w:val="002B3014"/>
    <w:rsid w:val="003034D9"/>
    <w:rsid w:val="003052A2"/>
    <w:rsid w:val="00333804"/>
    <w:rsid w:val="00346F62"/>
    <w:rsid w:val="0037162C"/>
    <w:rsid w:val="003743F0"/>
    <w:rsid w:val="00386471"/>
    <w:rsid w:val="00386567"/>
    <w:rsid w:val="003914C4"/>
    <w:rsid w:val="003A6D9F"/>
    <w:rsid w:val="003F31AB"/>
    <w:rsid w:val="004311A0"/>
    <w:rsid w:val="00472714"/>
    <w:rsid w:val="00491182"/>
    <w:rsid w:val="004B0FCA"/>
    <w:rsid w:val="005010B2"/>
    <w:rsid w:val="00521AF5"/>
    <w:rsid w:val="00522E2C"/>
    <w:rsid w:val="005473A4"/>
    <w:rsid w:val="005477B8"/>
    <w:rsid w:val="005722ED"/>
    <w:rsid w:val="00664166"/>
    <w:rsid w:val="00677ED8"/>
    <w:rsid w:val="006D145A"/>
    <w:rsid w:val="006E727B"/>
    <w:rsid w:val="00803C2B"/>
    <w:rsid w:val="00822C87"/>
    <w:rsid w:val="00824595"/>
    <w:rsid w:val="00834209"/>
    <w:rsid w:val="008343C8"/>
    <w:rsid w:val="00A464BE"/>
    <w:rsid w:val="00B52043"/>
    <w:rsid w:val="00BF756B"/>
    <w:rsid w:val="00C138CA"/>
    <w:rsid w:val="00C20B07"/>
    <w:rsid w:val="00C4298B"/>
    <w:rsid w:val="00C86325"/>
    <w:rsid w:val="00CC0A5F"/>
    <w:rsid w:val="00D15AF9"/>
    <w:rsid w:val="00DD6B27"/>
    <w:rsid w:val="00DE585E"/>
    <w:rsid w:val="00E06D9D"/>
    <w:rsid w:val="00E10424"/>
    <w:rsid w:val="00E626DF"/>
    <w:rsid w:val="00E630AB"/>
    <w:rsid w:val="00E67636"/>
    <w:rsid w:val="00E826E0"/>
    <w:rsid w:val="00F33D5C"/>
    <w:rsid w:val="00F603F2"/>
    <w:rsid w:val="00F835FA"/>
    <w:rsid w:val="00F90D9C"/>
    <w:rsid w:val="00F93E83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18</cp:revision>
  <cp:lastPrinted>2014-02-11T12:10:00Z</cp:lastPrinted>
  <dcterms:created xsi:type="dcterms:W3CDTF">2014-03-10T11:22:00Z</dcterms:created>
  <dcterms:modified xsi:type="dcterms:W3CDTF">2014-03-27T19:22:00Z</dcterms:modified>
</cp:coreProperties>
</file>