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70" w:rsidRPr="00353B70" w:rsidRDefault="00353B70" w:rsidP="00353B7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353B70">
        <w:rPr>
          <w:b/>
          <w:szCs w:val="24"/>
        </w:rPr>
        <w:t xml:space="preserve">SERIE PASO ALONSO                                                                                  </w:t>
      </w:r>
      <w:r w:rsidRPr="00353B70">
        <w:rPr>
          <w:szCs w:val="24"/>
        </w:rPr>
        <w:t>Símbolo:</w:t>
      </w:r>
      <w:r w:rsidRPr="00353B70">
        <w:rPr>
          <w:b/>
          <w:szCs w:val="24"/>
        </w:rPr>
        <w:t xml:space="preserve"> </w:t>
      </w:r>
      <w:proofErr w:type="spellStart"/>
      <w:r w:rsidRPr="00353B70">
        <w:rPr>
          <w:b/>
          <w:szCs w:val="24"/>
        </w:rPr>
        <w:t>PsAl</w:t>
      </w:r>
      <w:proofErr w:type="spellEnd"/>
    </w:p>
    <w:p w:rsidR="00353B70" w:rsidRPr="00353B70" w:rsidRDefault="00353B70" w:rsidP="00353B70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353B70" w:rsidRPr="00353B70" w:rsidRDefault="00353B70" w:rsidP="00353B70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 xml:space="preserve">Pertenece a la familia "franca gruesa, silícea, no ácida, térmica" de los </w:t>
      </w:r>
      <w:proofErr w:type="spellStart"/>
      <w:r w:rsidRPr="00353B70">
        <w:rPr>
          <w:sz w:val="22"/>
          <w:szCs w:val="22"/>
          <w:u w:val="single"/>
          <w:lang w:val="es-ES_tradnl"/>
        </w:rPr>
        <w:t>Haplacuentes</w:t>
      </w:r>
      <w:proofErr w:type="spellEnd"/>
      <w:r w:rsidRPr="00353B70">
        <w:rPr>
          <w:sz w:val="22"/>
          <w:szCs w:val="22"/>
          <w:u w:val="single"/>
          <w:lang w:val="es-ES_tradnl"/>
        </w:rPr>
        <w:t xml:space="preserve"> típicos</w:t>
      </w:r>
      <w:r w:rsidRPr="00353B70">
        <w:rPr>
          <w:sz w:val="22"/>
          <w:szCs w:val="22"/>
          <w:lang w:val="es-ES_tradnl"/>
        </w:rPr>
        <w:t xml:space="preserve">. 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 xml:space="preserve">Son suelos pobre a mal drenados, algo </w:t>
      </w:r>
      <w:proofErr w:type="spellStart"/>
      <w:r w:rsidRPr="00353B70">
        <w:rPr>
          <w:sz w:val="22"/>
          <w:szCs w:val="22"/>
          <w:lang w:val="es-ES_tradnl"/>
        </w:rPr>
        <w:t>gleizados</w:t>
      </w:r>
      <w:proofErr w:type="spellEnd"/>
      <w:r w:rsidRPr="00353B70">
        <w:rPr>
          <w:sz w:val="22"/>
          <w:szCs w:val="22"/>
          <w:lang w:val="es-ES_tradnl"/>
        </w:rPr>
        <w:t xml:space="preserve"> en profundidad, que constan de diferentes capas de textura arenosa y colores pardo oscuro (7.5 YR 3/2) y, prácticamente, sin desarrollo genético. Están presentes en un paisaje de terrazas bajas aluviales, con </w:t>
      </w:r>
      <w:proofErr w:type="spellStart"/>
      <w:r w:rsidRPr="00353B70">
        <w:rPr>
          <w:sz w:val="22"/>
          <w:szCs w:val="22"/>
          <w:lang w:val="es-ES_tradnl"/>
        </w:rPr>
        <w:t>napa</w:t>
      </w:r>
      <w:proofErr w:type="spellEnd"/>
      <w:r w:rsidRPr="00353B70">
        <w:rPr>
          <w:sz w:val="22"/>
          <w:szCs w:val="22"/>
          <w:lang w:val="es-ES_tradnl"/>
        </w:rPr>
        <w:t xml:space="preserve"> freática alta. Son suelos desarrollados sobre materiales aluviales arenosos, que sufren frecuentes inundaciones por desborde del río Gualeguay.  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u w:val="single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Perfil tipo:</w:t>
      </w:r>
      <w:r w:rsidRPr="00353B70">
        <w:rPr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85C"/>
        </w:smartTagPr>
        <w:r w:rsidRPr="00353B70">
          <w:rPr>
            <w:sz w:val="22"/>
            <w:szCs w:val="22"/>
            <w:lang w:val="es-ES_tradnl"/>
          </w:rPr>
          <w:t>85C</w:t>
        </w:r>
      </w:smartTag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Fecha:</w:t>
      </w:r>
      <w:r w:rsidRPr="00353B70">
        <w:rPr>
          <w:sz w:val="22"/>
          <w:szCs w:val="22"/>
          <w:lang w:val="es-ES_tradnl"/>
        </w:rPr>
        <w:t xml:space="preserve"> 22-X-1992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Ubicación:</w:t>
      </w:r>
      <w:r w:rsidRPr="00353B70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7 km"/>
        </w:smartTagPr>
        <w:r w:rsidRPr="00353B70">
          <w:rPr>
            <w:sz w:val="22"/>
            <w:szCs w:val="22"/>
            <w:lang w:val="es-ES_tradnl"/>
          </w:rPr>
          <w:t>7 km</w:t>
        </w:r>
      </w:smartTag>
      <w:r w:rsidRPr="00353B70">
        <w:rPr>
          <w:sz w:val="22"/>
          <w:szCs w:val="22"/>
          <w:lang w:val="es-ES_tradnl"/>
        </w:rPr>
        <w:t xml:space="preserve"> al este de la ciudad de Gualeguay (foto IR 403-13) - Dpto. Gualeguay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Reconocedores:</w:t>
      </w:r>
      <w:r w:rsidRPr="00353B70">
        <w:rPr>
          <w:sz w:val="22"/>
          <w:szCs w:val="22"/>
          <w:lang w:val="es-ES_tradnl"/>
        </w:rPr>
        <w:t xml:space="preserve"> R.H. Fuentes; O.A. </w:t>
      </w:r>
      <w:proofErr w:type="spellStart"/>
      <w:r w:rsidRPr="00353B70">
        <w:rPr>
          <w:sz w:val="22"/>
          <w:szCs w:val="22"/>
          <w:lang w:val="es-ES_tradnl"/>
        </w:rPr>
        <w:t>Foti</w:t>
      </w:r>
      <w:proofErr w:type="spellEnd"/>
      <w:r w:rsidRPr="00353B70">
        <w:rPr>
          <w:sz w:val="22"/>
          <w:szCs w:val="22"/>
          <w:lang w:val="es-ES_tradnl"/>
        </w:rPr>
        <w:t>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I</w:t>
      </w:r>
      <w:r w:rsidRPr="00353B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53B70">
        <w:rPr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30 cm"/>
        </w:smartTagPr>
        <w:r w:rsidRPr="00353B70">
          <w:rPr>
            <w:sz w:val="22"/>
            <w:szCs w:val="22"/>
            <w:lang w:val="es-ES_tradnl"/>
          </w:rPr>
          <w:t>30 cm</w:t>
        </w:r>
      </w:smartTag>
      <w:r w:rsidRPr="00353B70">
        <w:rPr>
          <w:sz w:val="22"/>
          <w:szCs w:val="22"/>
          <w:lang w:val="es-ES_tradnl"/>
        </w:rPr>
        <w:t xml:space="preserve">; pardo oscuro (7,5 YR 3/4) en húmedo, pardo (7,5 YR 5/2) en seco;  franco-arenoso; estructura granular y en bloques </w:t>
      </w:r>
      <w:proofErr w:type="spellStart"/>
      <w:r w:rsidRPr="00353B70">
        <w:rPr>
          <w:sz w:val="22"/>
          <w:szCs w:val="22"/>
          <w:lang w:val="es-ES_tradnl"/>
        </w:rPr>
        <w:t>subangulares</w:t>
      </w:r>
      <w:proofErr w:type="spellEnd"/>
      <w:r w:rsidRPr="00353B70">
        <w:rPr>
          <w:sz w:val="22"/>
          <w:szCs w:val="22"/>
          <w:lang w:val="es-ES_tradnl"/>
        </w:rPr>
        <w:t xml:space="preserve"> finos, muy débiles; blando en seco, muy friable en húmedo; barnices ("</w:t>
      </w:r>
      <w:proofErr w:type="spellStart"/>
      <w:r w:rsidRPr="00353B70">
        <w:rPr>
          <w:sz w:val="22"/>
          <w:szCs w:val="22"/>
          <w:lang w:val="es-ES_tradnl"/>
        </w:rPr>
        <w:t>humic</w:t>
      </w:r>
      <w:proofErr w:type="spellEnd"/>
      <w:r w:rsidRPr="00353B70">
        <w:rPr>
          <w:sz w:val="22"/>
          <w:szCs w:val="22"/>
          <w:lang w:val="es-ES_tradnl"/>
        </w:rPr>
        <w:t xml:space="preserve"> </w:t>
      </w:r>
      <w:proofErr w:type="spellStart"/>
      <w:r w:rsidRPr="00353B70">
        <w:rPr>
          <w:sz w:val="22"/>
          <w:szCs w:val="22"/>
          <w:lang w:val="es-ES_tradnl"/>
        </w:rPr>
        <w:t>skins</w:t>
      </w:r>
      <w:proofErr w:type="spellEnd"/>
      <w:r w:rsidRPr="00353B70">
        <w:rPr>
          <w:sz w:val="22"/>
          <w:szCs w:val="22"/>
          <w:lang w:val="es-ES_tradnl"/>
        </w:rPr>
        <w:t>") escasos; moteados de hierro-manganeso abundantes, medios y sobresalientes; límite claro, suave.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II</w:t>
      </w:r>
      <w:r w:rsidRPr="00353B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53B70">
        <w:rPr>
          <w:sz w:val="22"/>
          <w:szCs w:val="22"/>
          <w:lang w:val="es-ES_tradnl"/>
        </w:rPr>
        <w:t>30-</w:t>
      </w:r>
      <w:smartTag w:uri="urn:schemas-microsoft-com:office:smarttags" w:element="metricconverter">
        <w:smartTagPr>
          <w:attr w:name="ProductID" w:val="52 cm"/>
        </w:smartTagPr>
        <w:r w:rsidRPr="00353B70">
          <w:rPr>
            <w:sz w:val="22"/>
            <w:szCs w:val="22"/>
            <w:lang w:val="es-ES_tradnl"/>
          </w:rPr>
          <w:t>52 cm</w:t>
        </w:r>
      </w:smartTag>
      <w:r w:rsidRPr="00353B70">
        <w:rPr>
          <w:sz w:val="22"/>
          <w:szCs w:val="22"/>
          <w:lang w:val="es-ES_tradnl"/>
        </w:rPr>
        <w:t xml:space="preserve">; pardo oscuro (7,5 YR 3/2) en húmedo; areno-franco; grano suelto; moteados de hierro-manganeso abundantes, gruesos y sobresalientes; límite abrupto, suave.  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III</w:t>
      </w:r>
      <w:r w:rsidRPr="00353B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53B70">
        <w:rPr>
          <w:sz w:val="22"/>
          <w:szCs w:val="22"/>
          <w:lang w:val="es-ES_tradnl"/>
        </w:rPr>
        <w:t>52-</w:t>
      </w:r>
      <w:smartTag w:uri="urn:schemas-microsoft-com:office:smarttags" w:element="metricconverter">
        <w:smartTagPr>
          <w:attr w:name="ProductID" w:val="70 cm"/>
        </w:smartTagPr>
        <w:r w:rsidRPr="00353B70">
          <w:rPr>
            <w:sz w:val="22"/>
            <w:szCs w:val="22"/>
            <w:lang w:val="es-ES_tradnl"/>
          </w:rPr>
          <w:t>70 cm</w:t>
        </w:r>
      </w:smartTag>
      <w:r w:rsidRPr="00353B70">
        <w:rPr>
          <w:sz w:val="22"/>
          <w:szCs w:val="22"/>
          <w:lang w:val="es-ES_tradnl"/>
        </w:rPr>
        <w:t>; pardo (7,5 YR 5/2) en húmedo; arenoso; grano suelto; límite abrupto, suave.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53B70">
        <w:rPr>
          <w:b/>
          <w:sz w:val="22"/>
          <w:szCs w:val="22"/>
          <w:lang w:val="es-ES_tradnl"/>
        </w:rPr>
        <w:t>IV</w:t>
      </w:r>
      <w:r w:rsidRPr="00353B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53B70">
        <w:rPr>
          <w:sz w:val="22"/>
          <w:szCs w:val="22"/>
          <w:lang w:val="es-ES_tradnl"/>
        </w:rPr>
        <w:t>70 + cm; gris oscuro (7,5 YR 4/0) en húmedo; arenoso; grano suelto.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b/>
          <w:sz w:val="22"/>
          <w:szCs w:val="22"/>
          <w:lang w:val="es-ES_tradnl"/>
        </w:rPr>
      </w:pPr>
      <w:r w:rsidRPr="00353B70">
        <w:rPr>
          <w:b/>
          <w:sz w:val="22"/>
          <w:szCs w:val="22"/>
          <w:u w:val="single"/>
          <w:lang w:val="es-ES_tradnl"/>
        </w:rPr>
        <w:t>Variabilidad de rasgos</w:t>
      </w:r>
    </w:p>
    <w:p w:rsidR="00353B70" w:rsidRPr="00353B70" w:rsidRDefault="00353B70" w:rsidP="00353B70">
      <w:pPr>
        <w:ind w:firstLine="720"/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>Está dada principalmente por el mayor o menor espesor que presentan las capas de deposición de arenas, debido a la influencia de las crecientes estacionales del río Gualeguay.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>La primera capa, franco arenosa, tiene un 1,2 % de materia orgánica y el mayor porcentaje de arcilla de todo el perfil (9.84 %).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>En la segunda capa, de textura arenosa franca, se nota la disminución en el porcentaje de materia orgánica (0.3 %) y de arcilla (4.55 %), aumentando el de arena fina (82.9 %).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 xml:space="preserve">La tercera y cuarta capa, de textura arenosa, están caracterizadas por el mayor porcentaje de arena fina de todo el perfil (93-95 %), disminuyendo aún más los porcentajes de materia orgánica (0.1 %) y arcilla (1.09 %).  </w:t>
      </w:r>
    </w:p>
    <w:p w:rsidR="00353B70" w:rsidRPr="00353B70" w:rsidRDefault="00353B70" w:rsidP="00353B70">
      <w:pPr>
        <w:jc w:val="both"/>
        <w:rPr>
          <w:b/>
          <w:sz w:val="22"/>
          <w:szCs w:val="22"/>
          <w:u w:val="single"/>
          <w:lang w:val="es-ES_tradnl"/>
        </w:rPr>
      </w:pPr>
    </w:p>
    <w:p w:rsidR="00353B70" w:rsidRPr="00353B70" w:rsidRDefault="00353B70" w:rsidP="00353B70">
      <w:pPr>
        <w:jc w:val="both"/>
        <w:rPr>
          <w:b/>
          <w:sz w:val="22"/>
          <w:szCs w:val="22"/>
          <w:u w:val="single"/>
          <w:lang w:val="es-ES_tradnl"/>
        </w:rPr>
      </w:pPr>
    </w:p>
    <w:p w:rsidR="00353B70" w:rsidRPr="00353B70" w:rsidRDefault="00353B70" w:rsidP="00353B70">
      <w:pPr>
        <w:jc w:val="both"/>
        <w:rPr>
          <w:b/>
          <w:sz w:val="22"/>
          <w:szCs w:val="22"/>
          <w:lang w:val="es-ES_tradnl"/>
        </w:rPr>
      </w:pPr>
      <w:r w:rsidRPr="00353B70">
        <w:rPr>
          <w:b/>
          <w:sz w:val="22"/>
          <w:szCs w:val="22"/>
          <w:u w:val="single"/>
          <w:lang w:val="es-ES_tradnl"/>
        </w:rPr>
        <w:t>Fases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</w:rPr>
        <w:t>No presenta a escala 1:100.000.</w:t>
      </w:r>
    </w:p>
    <w:p w:rsidR="00353B70" w:rsidRPr="00353B70" w:rsidRDefault="00353B70" w:rsidP="00353B70">
      <w:pPr>
        <w:jc w:val="both"/>
        <w:rPr>
          <w:b/>
          <w:sz w:val="22"/>
          <w:szCs w:val="22"/>
          <w:lang w:val="es-ES_tradnl"/>
        </w:rPr>
      </w:pPr>
      <w:r w:rsidRPr="00353B70">
        <w:rPr>
          <w:b/>
          <w:sz w:val="22"/>
          <w:szCs w:val="22"/>
          <w:u w:val="single"/>
          <w:lang w:val="es-ES_tradnl"/>
        </w:rPr>
        <w:lastRenderedPageBreak/>
        <w:t>Series similares y sus diferencias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 xml:space="preserve">Se parece a </w:t>
      </w:r>
      <w:smartTag w:uri="urn:schemas-microsoft-com:office:smarttags" w:element="PersonName">
        <w:smartTagPr>
          <w:attr w:name="ProductID" w:val="la serie Rinc￳n"/>
        </w:smartTagPr>
        <w:r w:rsidRPr="00353B70">
          <w:rPr>
            <w:sz w:val="22"/>
            <w:szCs w:val="22"/>
            <w:lang w:val="es-ES_tradnl"/>
          </w:rPr>
          <w:t>la serie Rincón</w:t>
        </w:r>
      </w:smartTag>
      <w:r w:rsidRPr="00353B70">
        <w:rPr>
          <w:sz w:val="22"/>
          <w:szCs w:val="22"/>
          <w:lang w:val="es-ES_tradnl"/>
        </w:rPr>
        <w:t xml:space="preserve"> de </w:t>
      </w:r>
      <w:proofErr w:type="spellStart"/>
      <w:r w:rsidRPr="00353B70">
        <w:rPr>
          <w:sz w:val="22"/>
          <w:szCs w:val="22"/>
          <w:lang w:val="es-ES_tradnl"/>
        </w:rPr>
        <w:t>Nogoyá</w:t>
      </w:r>
      <w:proofErr w:type="spellEnd"/>
      <w:r w:rsidRPr="00353B70">
        <w:rPr>
          <w:sz w:val="22"/>
          <w:szCs w:val="22"/>
          <w:lang w:val="es-ES_tradnl"/>
        </w:rPr>
        <w:t xml:space="preserve"> en cuanto a la textura de los horizontes superiores, pero ésta serie presenta, a partir de los </w:t>
      </w:r>
      <w:smartTag w:uri="urn:schemas-microsoft-com:office:smarttags" w:element="metricconverter">
        <w:smartTagPr>
          <w:attr w:name="ProductID" w:val="70 cm"/>
        </w:smartTagPr>
        <w:r w:rsidRPr="00353B70">
          <w:rPr>
            <w:sz w:val="22"/>
            <w:szCs w:val="22"/>
            <w:lang w:val="es-ES_tradnl"/>
          </w:rPr>
          <w:t>70 cm</w:t>
        </w:r>
      </w:smartTag>
      <w:r w:rsidRPr="00353B70">
        <w:rPr>
          <w:sz w:val="22"/>
          <w:szCs w:val="22"/>
          <w:lang w:val="es-ES_tradnl"/>
        </w:rPr>
        <w:t xml:space="preserve">, una discontinuidad litológica con materiales de textura arcillo arenosa; por otra parte, el origen de estas arenas es eólico, mientras que las de </w:t>
      </w:r>
      <w:smartTag w:uri="urn:schemas-microsoft-com:office:smarttags" w:element="PersonName">
        <w:smartTagPr>
          <w:attr w:name="ProductID" w:val="la serie Paso Alonso"/>
        </w:smartTagPr>
        <w:r w:rsidRPr="00353B70">
          <w:rPr>
            <w:sz w:val="22"/>
            <w:szCs w:val="22"/>
            <w:lang w:val="es-ES_tradnl"/>
          </w:rPr>
          <w:t>la serie Paso Alonso</w:t>
        </w:r>
      </w:smartTag>
      <w:r w:rsidRPr="00353B70">
        <w:rPr>
          <w:sz w:val="22"/>
          <w:szCs w:val="22"/>
          <w:lang w:val="es-ES_tradnl"/>
        </w:rPr>
        <w:t xml:space="preserve"> son  aluviales.</w:t>
      </w:r>
    </w:p>
    <w:p w:rsidR="00353B70" w:rsidRPr="00353B70" w:rsidRDefault="00353B70" w:rsidP="00353B70">
      <w:pPr>
        <w:jc w:val="both"/>
        <w:rPr>
          <w:sz w:val="22"/>
          <w:szCs w:val="22"/>
          <w:u w:val="single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u w:val="single"/>
          <w:lang w:val="es-ES_tradnl"/>
        </w:rPr>
      </w:pPr>
    </w:p>
    <w:p w:rsidR="00353B70" w:rsidRPr="00353B70" w:rsidRDefault="00353B70" w:rsidP="00353B70">
      <w:pPr>
        <w:jc w:val="both"/>
        <w:rPr>
          <w:b/>
          <w:sz w:val="22"/>
          <w:szCs w:val="22"/>
          <w:lang w:val="es-ES_tradnl"/>
        </w:rPr>
      </w:pPr>
      <w:r w:rsidRPr="00353B70">
        <w:rPr>
          <w:b/>
          <w:sz w:val="22"/>
          <w:szCs w:val="22"/>
          <w:u w:val="single"/>
          <w:lang w:val="es-ES_tradnl"/>
        </w:rPr>
        <w:t>Drenaje</w:t>
      </w: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t xml:space="preserve">Pobre a mal drenado; escurrimiento superficial muy lento. Permeabilidad rápida. Napa freática a </w:t>
      </w:r>
      <w:smartTag w:uri="urn:schemas-microsoft-com:office:smarttags" w:element="metricconverter">
        <w:smartTagPr>
          <w:attr w:name="ProductID" w:val="90 cm"/>
        </w:smartTagPr>
        <w:r w:rsidRPr="00353B70">
          <w:rPr>
            <w:sz w:val="22"/>
            <w:szCs w:val="22"/>
            <w:lang w:val="es-ES_tradnl"/>
          </w:rPr>
          <w:t>90 cm</w:t>
        </w:r>
      </w:smartTag>
      <w:r w:rsidRPr="00353B70">
        <w:rPr>
          <w:sz w:val="22"/>
          <w:szCs w:val="22"/>
          <w:lang w:val="es-ES_tradnl"/>
        </w:rPr>
        <w:t>. Grupo hidrológico B.</w:t>
      </w:r>
    </w:p>
    <w:p w:rsidR="00353B70" w:rsidRPr="00353B70" w:rsidRDefault="00353B70" w:rsidP="00353B70">
      <w:pPr>
        <w:ind w:firstLine="720"/>
        <w:jc w:val="both"/>
        <w:rPr>
          <w:sz w:val="22"/>
          <w:szCs w:val="22"/>
          <w:lang w:val="es-ES_tradnl"/>
        </w:rPr>
      </w:pPr>
    </w:p>
    <w:p w:rsidR="00353B70" w:rsidRPr="00353B70" w:rsidRDefault="00353B70" w:rsidP="00353B70">
      <w:pPr>
        <w:tabs>
          <w:tab w:val="center" w:pos="4512"/>
        </w:tabs>
        <w:jc w:val="both"/>
        <w:rPr>
          <w:b/>
          <w:sz w:val="22"/>
          <w:szCs w:val="22"/>
          <w:lang w:val="es-ES_tradnl"/>
        </w:rPr>
      </w:pPr>
      <w:r w:rsidRPr="00353B70">
        <w:rPr>
          <w:sz w:val="22"/>
          <w:szCs w:val="22"/>
          <w:lang w:val="es-ES_tradnl"/>
        </w:rPr>
        <w:br w:type="page"/>
      </w:r>
      <w:r w:rsidRPr="00353B70">
        <w:rPr>
          <w:b/>
          <w:sz w:val="22"/>
          <w:szCs w:val="22"/>
          <w:lang w:val="es-ES_tradnl"/>
        </w:rPr>
        <w:lastRenderedPageBreak/>
        <w:tab/>
      </w:r>
    </w:p>
    <w:p w:rsidR="00353B70" w:rsidRPr="00353B70" w:rsidRDefault="00353B70" w:rsidP="00353B70">
      <w:pPr>
        <w:tabs>
          <w:tab w:val="center" w:pos="4512"/>
        </w:tabs>
        <w:rPr>
          <w:b/>
          <w:sz w:val="22"/>
          <w:szCs w:val="22"/>
          <w:lang w:val="es-ES_tradnl"/>
        </w:rPr>
      </w:pPr>
      <w:bookmarkStart w:id="0" w:name="_GoBack"/>
      <w:bookmarkEnd w:id="0"/>
      <w:r w:rsidRPr="00353B70">
        <w:rPr>
          <w:b/>
          <w:sz w:val="22"/>
          <w:szCs w:val="22"/>
          <w:u w:val="single"/>
          <w:lang w:val="es-ES_tradnl"/>
        </w:rPr>
        <w:t>DATOS ANALITICOS DEL PERFIL TIPO</w:t>
      </w:r>
    </w:p>
    <w:p w:rsidR="00353B70" w:rsidRPr="00353B70" w:rsidRDefault="00353B70" w:rsidP="00353B70">
      <w:pPr>
        <w:jc w:val="both"/>
        <w:rPr>
          <w:b/>
          <w:sz w:val="22"/>
          <w:szCs w:val="22"/>
          <w:lang w:val="es-ES_tradnl"/>
        </w:rPr>
      </w:pPr>
    </w:p>
    <w:p w:rsidR="00353B70" w:rsidRPr="00353B70" w:rsidRDefault="00353B70" w:rsidP="00353B70">
      <w:pPr>
        <w:jc w:val="both"/>
        <w:rPr>
          <w:b/>
          <w:sz w:val="22"/>
          <w:szCs w:val="22"/>
          <w:u w:val="single"/>
          <w:lang w:val="es-ES_tradnl"/>
        </w:rPr>
      </w:pPr>
      <w:r w:rsidRPr="00353B70">
        <w:rPr>
          <w:b/>
          <w:sz w:val="22"/>
          <w:szCs w:val="22"/>
          <w:u w:val="single"/>
          <w:lang w:val="es-ES_tradnl"/>
        </w:rPr>
        <w:t>Serie Paso Alonso</w:t>
      </w:r>
    </w:p>
    <w:p w:rsidR="00353B70" w:rsidRPr="00353B70" w:rsidRDefault="00353B70" w:rsidP="00353B70">
      <w:pPr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37"/>
        <w:gridCol w:w="964"/>
        <w:gridCol w:w="964"/>
        <w:gridCol w:w="964"/>
        <w:gridCol w:w="964"/>
      </w:tblGrid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ER1-</w:t>
            </w:r>
            <w:smartTag w:uri="urn:schemas-microsoft-com:office:smarttags" w:element="metricconverter">
              <w:smartTagPr>
                <w:attr w:name="ProductID" w:val="85C"/>
              </w:smartTagPr>
              <w:r w:rsidRPr="00353B70">
                <w:rPr>
                  <w:sz w:val="22"/>
                  <w:szCs w:val="22"/>
                </w:rPr>
                <w:t>85C</w:t>
              </w:r>
            </w:smartTag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Nº de registro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7212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7213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7214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7215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IV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Profundidad (cm)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02-25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35-50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56-66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75-95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proofErr w:type="spellStart"/>
            <w:r w:rsidRPr="00353B70">
              <w:rPr>
                <w:sz w:val="22"/>
                <w:szCs w:val="22"/>
              </w:rPr>
              <w:t>Mat.orgánica</w:t>
            </w:r>
            <w:proofErr w:type="spellEnd"/>
            <w:r w:rsidRPr="00353B70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0.14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  <w:tcBorders>
              <w:bottom w:val="single" w:sz="6" w:space="0" w:color="auto"/>
            </w:tcBorders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10.63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6.96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7.27</w:t>
            </w:r>
          </w:p>
        </w:tc>
        <w:tc>
          <w:tcPr>
            <w:tcW w:w="964" w:type="dxa"/>
            <w:tcBorders>
              <w:bottom w:val="single" w:sz="6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8.89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 xml:space="preserve">&lt;2 </w:t>
            </w:r>
            <w:r w:rsidRPr="00353B70">
              <w:rPr>
                <w:sz w:val="22"/>
                <w:szCs w:val="22"/>
              </w:rPr>
              <w:t>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9.84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4.55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1.22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1.09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2-20 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11.28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5.06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0.11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2.16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2-50 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25.90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10.93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0.41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4.15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50-100 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2.09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1.28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0.52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0.97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100-500 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61.76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82.94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95.36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93.37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R  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500-1000 µ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0.41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0.30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2.49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0.42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637" w:type="dxa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37" w:type="dxa"/>
          </w:tcPr>
          <w:p w:rsidR="00353B70" w:rsidRPr="00353B70" w:rsidRDefault="00353B70" w:rsidP="00353B70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274" w:type="dxa"/>
            <w:gridSpan w:val="2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pH H</w:t>
            </w:r>
            <w:r w:rsidRPr="00353B70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353B70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5.7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5.7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6.0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pH </w:t>
            </w:r>
            <w:proofErr w:type="spellStart"/>
            <w:r w:rsidRPr="00353B70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5.3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C.E. (</w:t>
            </w:r>
            <w:proofErr w:type="spellStart"/>
            <w:r w:rsidRPr="00353B70">
              <w:rPr>
                <w:sz w:val="22"/>
                <w:szCs w:val="22"/>
              </w:rPr>
              <w:t>mmhos</w:t>
            </w:r>
            <w:proofErr w:type="spellEnd"/>
            <w:r w:rsidRPr="00353B70">
              <w:rPr>
                <w:sz w:val="22"/>
                <w:szCs w:val="22"/>
              </w:rPr>
              <w:t>/cm)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n-US"/>
              </w:rPr>
            </w:pPr>
            <w:r w:rsidRPr="00353B70">
              <w:rPr>
                <w:sz w:val="22"/>
                <w:szCs w:val="22"/>
                <w:lang w:val="en-US"/>
              </w:rPr>
              <w:t>0.17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  <w:tcBorders>
              <w:top w:val="single" w:sz="4" w:space="0" w:color="auto"/>
            </w:tcBorders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Capacidad de intercambio catiónico</w:t>
            </w:r>
          </w:p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 (</w:t>
            </w:r>
            <w:proofErr w:type="spellStart"/>
            <w:r w:rsidRPr="00353B70">
              <w:rPr>
                <w:sz w:val="22"/>
                <w:szCs w:val="22"/>
              </w:rPr>
              <w:t>m.e</w:t>
            </w:r>
            <w:proofErr w:type="spellEnd"/>
            <w:r w:rsidRPr="00353B70">
              <w:rPr>
                <w:sz w:val="22"/>
                <w:szCs w:val="22"/>
              </w:rPr>
              <w:t>./100 g) =</w:t>
            </w:r>
          </w:p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8.75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1.80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1.58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6.20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1.60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0.80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2.40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C     e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1.49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0.18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0.10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0.08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0.05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o     m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 xml:space="preserve">n     b       </w:t>
            </w:r>
            <w:proofErr w:type="spellStart"/>
            <w:r w:rsidRPr="00353B70">
              <w:rPr>
                <w:sz w:val="22"/>
                <w:szCs w:val="22"/>
              </w:rPr>
              <w:t>Na</w:t>
            </w:r>
            <w:proofErr w:type="spellEnd"/>
            <w:r w:rsidRPr="00353B70">
              <w:rPr>
                <w:sz w:val="22"/>
                <w:szCs w:val="22"/>
              </w:rPr>
              <w:t>+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0.05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353B70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353B70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  <w:lang w:val="es-ES_tradnl"/>
              </w:rPr>
            </w:pPr>
            <w:r w:rsidRPr="00353B70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-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53B70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53B70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64" w:type="dxa"/>
            <w:vAlign w:val="bottom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1.71</w:t>
            </w:r>
          </w:p>
        </w:tc>
        <w:tc>
          <w:tcPr>
            <w:tcW w:w="964" w:type="dxa"/>
            <w:vAlign w:val="bottom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3.57</w:t>
            </w:r>
          </w:p>
        </w:tc>
        <w:tc>
          <w:tcPr>
            <w:tcW w:w="964" w:type="dxa"/>
            <w:vAlign w:val="bottom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2.77</w:t>
            </w:r>
          </w:p>
        </w:tc>
        <w:tc>
          <w:tcPr>
            <w:tcW w:w="964" w:type="dxa"/>
            <w:vAlign w:val="bottom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3.16</w:t>
            </w:r>
          </w:p>
        </w:tc>
      </w:tr>
      <w:tr w:rsidR="00353B70" w:rsidRPr="00353B70" w:rsidTr="00827F7C">
        <w:tblPrEx>
          <w:tblCellMar>
            <w:top w:w="0" w:type="dxa"/>
            <w:bottom w:w="0" w:type="dxa"/>
          </w:tblCellMar>
        </w:tblPrEx>
        <w:tc>
          <w:tcPr>
            <w:tcW w:w="3274" w:type="dxa"/>
            <w:gridSpan w:val="2"/>
          </w:tcPr>
          <w:p w:rsidR="00353B70" w:rsidRPr="00353B70" w:rsidRDefault="00353B70" w:rsidP="00353B70">
            <w:pPr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12.03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5.41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1.58</w:t>
            </w:r>
          </w:p>
        </w:tc>
        <w:tc>
          <w:tcPr>
            <w:tcW w:w="964" w:type="dxa"/>
          </w:tcPr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</w:p>
          <w:p w:rsidR="00353B70" w:rsidRPr="00353B70" w:rsidRDefault="00353B70" w:rsidP="00353B70">
            <w:pPr>
              <w:jc w:val="center"/>
              <w:rPr>
                <w:sz w:val="22"/>
                <w:szCs w:val="22"/>
              </w:rPr>
            </w:pPr>
            <w:r w:rsidRPr="00353B70">
              <w:rPr>
                <w:sz w:val="22"/>
                <w:szCs w:val="22"/>
              </w:rPr>
              <w:t>2.01</w:t>
            </w:r>
          </w:p>
        </w:tc>
      </w:tr>
    </w:tbl>
    <w:p w:rsidR="008808C5" w:rsidRPr="00353B70" w:rsidRDefault="008808C5" w:rsidP="00353B70">
      <w:pPr>
        <w:rPr>
          <w:sz w:val="22"/>
          <w:szCs w:val="22"/>
        </w:rPr>
      </w:pPr>
    </w:p>
    <w:sectPr w:rsidR="008808C5" w:rsidRPr="00353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70"/>
    <w:rsid w:val="00353B70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353B7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53B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53B7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53B7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353B7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53B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53B7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53B7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2014-01-28T12:52:00Z</dcterms:created>
  <dcterms:modified xsi:type="dcterms:W3CDTF">2014-01-28T12:54:00Z</dcterms:modified>
</cp:coreProperties>
</file>