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8A" w:rsidRPr="00B2558A" w:rsidRDefault="00B2558A" w:rsidP="00B2558A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</w:rPr>
      </w:pPr>
    </w:p>
    <w:p w:rsidR="00B2558A" w:rsidRPr="00B2558A" w:rsidRDefault="00B2558A" w:rsidP="00B2558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B2558A">
        <w:rPr>
          <w:b/>
          <w:szCs w:val="24"/>
        </w:rPr>
        <w:t xml:space="preserve">SERIE PUNTA DEL MONTE  </w:t>
      </w:r>
      <w:r>
        <w:rPr>
          <w:b/>
          <w:szCs w:val="24"/>
        </w:rPr>
        <w:t xml:space="preserve"> </w:t>
      </w:r>
      <w:r w:rsidRPr="00B2558A">
        <w:rPr>
          <w:b/>
          <w:szCs w:val="24"/>
        </w:rPr>
        <w:t xml:space="preserve">                                                                    </w:t>
      </w:r>
      <w:r w:rsidRPr="00B2558A">
        <w:rPr>
          <w:szCs w:val="24"/>
        </w:rPr>
        <w:t>Símbolo:</w:t>
      </w:r>
      <w:r w:rsidRPr="00B2558A">
        <w:rPr>
          <w:b/>
          <w:szCs w:val="24"/>
        </w:rPr>
        <w:t xml:space="preserve"> </w:t>
      </w:r>
      <w:proofErr w:type="spellStart"/>
      <w:r w:rsidRPr="00B2558A">
        <w:rPr>
          <w:b/>
          <w:szCs w:val="24"/>
        </w:rPr>
        <w:t>PMo</w:t>
      </w:r>
      <w:proofErr w:type="spellEnd"/>
    </w:p>
    <w:p w:rsidR="00B2558A" w:rsidRPr="00B2558A" w:rsidRDefault="00B2558A" w:rsidP="00B2558A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pt-BR"/>
        </w:rPr>
      </w:pPr>
    </w:p>
    <w:p w:rsidR="00B2558A" w:rsidRPr="00B2558A" w:rsidRDefault="00B2558A" w:rsidP="00B2558A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pt-BR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sz w:val="22"/>
          <w:szCs w:val="22"/>
          <w:lang w:val="es-ES_tradnl"/>
        </w:rPr>
        <w:t xml:space="preserve">Pertenece a la familia "fina, mixta, alcalina, térmica" de los </w:t>
      </w:r>
      <w:proofErr w:type="spellStart"/>
      <w:r w:rsidRPr="00B2558A">
        <w:rPr>
          <w:sz w:val="22"/>
          <w:szCs w:val="22"/>
          <w:u w:val="single"/>
          <w:lang w:val="es-ES_tradnl"/>
        </w:rPr>
        <w:t>Natracualfes</w:t>
      </w:r>
      <w:proofErr w:type="spellEnd"/>
      <w:r w:rsidRPr="00B2558A">
        <w:rPr>
          <w:sz w:val="22"/>
          <w:szCs w:val="22"/>
          <w:u w:val="single"/>
          <w:lang w:val="es-ES_tradnl"/>
        </w:rPr>
        <w:t xml:space="preserve"> típicos</w:t>
      </w:r>
      <w:r w:rsidRPr="00B2558A">
        <w:rPr>
          <w:sz w:val="22"/>
          <w:szCs w:val="22"/>
          <w:lang w:val="es-ES_tradnl"/>
        </w:rPr>
        <w:t>.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sz w:val="22"/>
          <w:szCs w:val="22"/>
          <w:lang w:val="es-ES_tradnl"/>
        </w:rPr>
        <w:t xml:space="preserve">Son suelos alcalinos y salinos desde la superficie, desarrollados en materiales aluviales relativamente modernos (aportados por periódicas crecidas del río Paraná) que se depositaron sobre limos </w:t>
      </w:r>
      <w:proofErr w:type="spellStart"/>
      <w:r w:rsidRPr="00B2558A">
        <w:rPr>
          <w:sz w:val="22"/>
          <w:szCs w:val="22"/>
          <w:lang w:val="es-ES_tradnl"/>
        </w:rPr>
        <w:t>loessoides</w:t>
      </w:r>
      <w:proofErr w:type="spellEnd"/>
      <w:r w:rsidRPr="00B2558A">
        <w:rPr>
          <w:sz w:val="22"/>
          <w:szCs w:val="22"/>
          <w:lang w:val="es-ES_tradnl"/>
        </w:rPr>
        <w:t xml:space="preserve"> </w:t>
      </w:r>
      <w:proofErr w:type="spellStart"/>
      <w:r w:rsidRPr="00B2558A">
        <w:rPr>
          <w:sz w:val="22"/>
          <w:szCs w:val="22"/>
          <w:lang w:val="es-ES_tradnl"/>
        </w:rPr>
        <w:t>gleizados</w:t>
      </w:r>
      <w:proofErr w:type="spellEnd"/>
      <w:r w:rsidRPr="00B2558A">
        <w:rPr>
          <w:sz w:val="22"/>
          <w:szCs w:val="22"/>
          <w:lang w:val="es-ES_tradnl"/>
        </w:rPr>
        <w:t>.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b/>
          <w:sz w:val="22"/>
          <w:szCs w:val="22"/>
          <w:lang w:val="es-ES_tradnl"/>
        </w:rPr>
        <w:t>Perfil tipo:</w:t>
      </w:r>
      <w:r w:rsidRPr="00B2558A">
        <w:rPr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87C"/>
        </w:smartTagPr>
        <w:r w:rsidRPr="00B2558A">
          <w:rPr>
            <w:sz w:val="22"/>
            <w:szCs w:val="22"/>
            <w:lang w:val="es-ES_tradnl"/>
          </w:rPr>
          <w:t>87C</w:t>
        </w:r>
      </w:smartTag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b/>
          <w:sz w:val="22"/>
          <w:szCs w:val="22"/>
          <w:lang w:val="es-ES_tradnl"/>
        </w:rPr>
        <w:t>Fecha:</w:t>
      </w:r>
      <w:r w:rsidRPr="00B2558A">
        <w:rPr>
          <w:sz w:val="22"/>
          <w:szCs w:val="22"/>
          <w:lang w:val="es-ES_tradnl"/>
        </w:rPr>
        <w:t xml:space="preserve"> 4-XI-1992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b/>
          <w:sz w:val="22"/>
          <w:szCs w:val="22"/>
          <w:lang w:val="es-ES_tradnl"/>
        </w:rPr>
        <w:t>Ubicación:</w:t>
      </w:r>
      <w:r w:rsidRPr="00B2558A">
        <w:rPr>
          <w:sz w:val="22"/>
          <w:szCs w:val="22"/>
          <w:lang w:val="es-ES_tradnl"/>
        </w:rPr>
        <w:t xml:space="preserve"> Estancia El Cinco (foto IR403-52) - Dpto. Gualeguay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b/>
          <w:sz w:val="22"/>
          <w:szCs w:val="22"/>
          <w:lang w:val="es-ES_tradnl"/>
        </w:rPr>
        <w:t>Reconocedores:</w:t>
      </w:r>
      <w:r w:rsidRPr="00B2558A">
        <w:rPr>
          <w:sz w:val="22"/>
          <w:szCs w:val="22"/>
          <w:lang w:val="es-ES_tradnl"/>
        </w:rPr>
        <w:t xml:space="preserve"> R.H. Fuentes; O.A. </w:t>
      </w:r>
      <w:proofErr w:type="spellStart"/>
      <w:r w:rsidRPr="00B2558A">
        <w:rPr>
          <w:sz w:val="22"/>
          <w:szCs w:val="22"/>
          <w:lang w:val="es-ES_tradnl"/>
        </w:rPr>
        <w:t>Foti</w:t>
      </w:r>
      <w:proofErr w:type="spellEnd"/>
      <w:r w:rsidRPr="00B2558A">
        <w:rPr>
          <w:sz w:val="22"/>
          <w:szCs w:val="22"/>
          <w:lang w:val="es-ES_tradnl"/>
        </w:rPr>
        <w:t>.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2558A">
        <w:rPr>
          <w:b/>
          <w:sz w:val="22"/>
          <w:szCs w:val="22"/>
          <w:lang w:val="es-ES_tradnl"/>
        </w:rPr>
        <w:t>A11</w:t>
      </w:r>
      <w:r w:rsidRPr="00B2558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2558A">
        <w:rPr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1 cm"/>
        </w:smartTagPr>
        <w:r w:rsidRPr="00B2558A">
          <w:rPr>
            <w:sz w:val="22"/>
            <w:szCs w:val="22"/>
            <w:lang w:val="es-ES_tradnl"/>
          </w:rPr>
          <w:t>11 cm</w:t>
        </w:r>
      </w:smartTag>
      <w:r w:rsidRPr="00B2558A">
        <w:rPr>
          <w:sz w:val="22"/>
          <w:szCs w:val="22"/>
          <w:lang w:val="es-ES_tradnl"/>
        </w:rPr>
        <w:t xml:space="preserve">; pardo muy oscuro (10YR 4/1) en húmedo, gris (10YR 6/1) en seco; franco-arcillo-limoso; estructura granular y en bloques </w:t>
      </w:r>
      <w:proofErr w:type="spellStart"/>
      <w:r w:rsidRPr="00B2558A">
        <w:rPr>
          <w:sz w:val="22"/>
          <w:szCs w:val="22"/>
          <w:lang w:val="es-ES_tradnl"/>
        </w:rPr>
        <w:t>subangulares</w:t>
      </w:r>
      <w:proofErr w:type="spellEnd"/>
      <w:r w:rsidRPr="00B2558A">
        <w:rPr>
          <w:sz w:val="22"/>
          <w:szCs w:val="22"/>
          <w:lang w:val="es-ES_tradnl"/>
        </w:rPr>
        <w:t>, débiles; duro en seco, friable en húmedo; concreciones de hierro-manganeso escasas; barnices ("</w:t>
      </w:r>
      <w:proofErr w:type="spellStart"/>
      <w:r w:rsidRPr="00B2558A">
        <w:rPr>
          <w:sz w:val="22"/>
          <w:szCs w:val="22"/>
          <w:lang w:val="es-ES_tradnl"/>
        </w:rPr>
        <w:t>humic</w:t>
      </w:r>
      <w:proofErr w:type="spellEnd"/>
      <w:r w:rsidRPr="00B2558A">
        <w:rPr>
          <w:sz w:val="22"/>
          <w:szCs w:val="22"/>
          <w:lang w:val="es-ES_tradnl"/>
        </w:rPr>
        <w:t xml:space="preserve"> </w:t>
      </w:r>
      <w:proofErr w:type="spellStart"/>
      <w:r w:rsidRPr="00B2558A">
        <w:rPr>
          <w:sz w:val="22"/>
          <w:szCs w:val="22"/>
          <w:lang w:val="es-ES_tradnl"/>
        </w:rPr>
        <w:t>skins</w:t>
      </w:r>
      <w:proofErr w:type="spellEnd"/>
      <w:r w:rsidRPr="00B2558A">
        <w:rPr>
          <w:sz w:val="22"/>
          <w:szCs w:val="22"/>
          <w:lang w:val="es-ES_tradnl"/>
        </w:rPr>
        <w:t xml:space="preserve">") escasos; moteados de hierro-manganeso comunes, medios y sobresalientes; horizonte muy </w:t>
      </w:r>
      <w:proofErr w:type="spellStart"/>
      <w:r w:rsidRPr="00B2558A">
        <w:rPr>
          <w:sz w:val="22"/>
          <w:szCs w:val="22"/>
          <w:lang w:val="es-ES_tradnl"/>
        </w:rPr>
        <w:t>eluviado</w:t>
      </w:r>
      <w:proofErr w:type="spellEnd"/>
      <w:r w:rsidRPr="00B2558A">
        <w:rPr>
          <w:sz w:val="22"/>
          <w:szCs w:val="22"/>
          <w:lang w:val="es-ES_tradnl"/>
        </w:rPr>
        <w:t>; límite abrupto, suave.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2558A">
        <w:rPr>
          <w:b/>
          <w:sz w:val="22"/>
          <w:szCs w:val="22"/>
          <w:lang w:val="es-ES_tradnl"/>
        </w:rPr>
        <w:t>A12</w:t>
      </w:r>
      <w:r w:rsidRPr="00B2558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2558A">
        <w:rPr>
          <w:sz w:val="22"/>
          <w:szCs w:val="22"/>
          <w:lang w:val="es-ES_tradnl"/>
        </w:rPr>
        <w:t>11-</w:t>
      </w:r>
      <w:smartTag w:uri="urn:schemas-microsoft-com:office:smarttags" w:element="metricconverter">
        <w:smartTagPr>
          <w:attr w:name="ProductID" w:val="21 cm"/>
        </w:smartTagPr>
        <w:r w:rsidRPr="00B2558A">
          <w:rPr>
            <w:sz w:val="22"/>
            <w:szCs w:val="22"/>
            <w:lang w:val="es-ES_tradnl"/>
          </w:rPr>
          <w:t>21 cm</w:t>
        </w:r>
      </w:smartTag>
      <w:r w:rsidRPr="00B2558A">
        <w:rPr>
          <w:sz w:val="22"/>
          <w:szCs w:val="22"/>
          <w:lang w:val="es-ES_tradnl"/>
        </w:rPr>
        <w:t xml:space="preserve">; gris muy oscuro (10YR 3.5/1) en húmedo; arcillo-limoso; estructura granular y en bloques </w:t>
      </w:r>
      <w:proofErr w:type="spellStart"/>
      <w:r w:rsidRPr="00B2558A">
        <w:rPr>
          <w:sz w:val="22"/>
          <w:szCs w:val="22"/>
          <w:lang w:val="es-ES_tradnl"/>
        </w:rPr>
        <w:t>subangulares</w:t>
      </w:r>
      <w:proofErr w:type="spellEnd"/>
      <w:r w:rsidRPr="00B2558A">
        <w:rPr>
          <w:sz w:val="22"/>
          <w:szCs w:val="22"/>
          <w:lang w:val="es-ES_tradnl"/>
        </w:rPr>
        <w:t>, débiles; duro en seco, friable en húmedo; escasa cantidad de carbonatos libres en la masa; barnices ("</w:t>
      </w:r>
      <w:proofErr w:type="spellStart"/>
      <w:r w:rsidRPr="00B2558A">
        <w:rPr>
          <w:sz w:val="22"/>
          <w:szCs w:val="22"/>
          <w:lang w:val="es-ES_tradnl"/>
        </w:rPr>
        <w:t>humic</w:t>
      </w:r>
      <w:proofErr w:type="spellEnd"/>
      <w:r w:rsidRPr="00B2558A">
        <w:rPr>
          <w:sz w:val="22"/>
          <w:szCs w:val="22"/>
          <w:lang w:val="es-ES_tradnl"/>
        </w:rPr>
        <w:t xml:space="preserve"> </w:t>
      </w:r>
      <w:proofErr w:type="spellStart"/>
      <w:r w:rsidRPr="00B2558A">
        <w:rPr>
          <w:sz w:val="22"/>
          <w:szCs w:val="22"/>
          <w:lang w:val="es-ES_tradnl"/>
        </w:rPr>
        <w:t>skins</w:t>
      </w:r>
      <w:proofErr w:type="spellEnd"/>
      <w:r w:rsidRPr="00B2558A">
        <w:rPr>
          <w:sz w:val="22"/>
          <w:szCs w:val="22"/>
          <w:lang w:val="es-ES_tradnl"/>
        </w:rPr>
        <w:t xml:space="preserve">") escasos a comunes; moteados de hierro-manganeso comunes, medios y sobresalientes; elevada alcalinidad; límite claro, suave.  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2558A">
        <w:rPr>
          <w:b/>
          <w:sz w:val="22"/>
          <w:szCs w:val="22"/>
          <w:lang w:val="es-ES_tradnl"/>
        </w:rPr>
        <w:t>B21t</w:t>
      </w:r>
      <w:r w:rsidRPr="00B2558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2558A">
        <w:rPr>
          <w:sz w:val="22"/>
          <w:szCs w:val="22"/>
          <w:lang w:val="es-ES_tradnl"/>
        </w:rPr>
        <w:t>21-</w:t>
      </w:r>
      <w:smartTag w:uri="urn:schemas-microsoft-com:office:smarttags" w:element="metricconverter">
        <w:smartTagPr>
          <w:attr w:name="ProductID" w:val="44 cm"/>
        </w:smartTagPr>
        <w:r w:rsidRPr="00B2558A">
          <w:rPr>
            <w:sz w:val="22"/>
            <w:szCs w:val="22"/>
            <w:lang w:val="es-ES_tradnl"/>
          </w:rPr>
          <w:t>44 cm</w:t>
        </w:r>
      </w:smartTag>
      <w:r w:rsidRPr="00B2558A">
        <w:rPr>
          <w:sz w:val="22"/>
          <w:szCs w:val="22"/>
          <w:lang w:val="es-ES_tradnl"/>
        </w:rPr>
        <w:t xml:space="preserve">; gris muy oscuro (10YR 3/1) en húmedo; arcillo-limoso; estructura granular y en bloques  </w:t>
      </w:r>
      <w:proofErr w:type="spellStart"/>
      <w:r w:rsidRPr="00B2558A">
        <w:rPr>
          <w:sz w:val="22"/>
          <w:szCs w:val="22"/>
          <w:lang w:val="es-ES_tradnl"/>
        </w:rPr>
        <w:t>subangulares</w:t>
      </w:r>
      <w:proofErr w:type="spellEnd"/>
      <w:r w:rsidRPr="00B2558A">
        <w:rPr>
          <w:sz w:val="22"/>
          <w:szCs w:val="22"/>
          <w:lang w:val="es-ES_tradnl"/>
        </w:rPr>
        <w:t xml:space="preserve"> medios, moderados; duro en seco, firme en húmedo; escasa cantidad de carbonatos libres en la masa; concreciones calcáreas escasas; barnices ("</w:t>
      </w:r>
      <w:proofErr w:type="spellStart"/>
      <w:r w:rsidRPr="00B2558A">
        <w:rPr>
          <w:sz w:val="22"/>
          <w:szCs w:val="22"/>
          <w:lang w:val="es-ES_tradnl"/>
        </w:rPr>
        <w:t>clay-humic</w:t>
      </w:r>
      <w:proofErr w:type="spellEnd"/>
      <w:r w:rsidRPr="00B2558A">
        <w:rPr>
          <w:sz w:val="22"/>
          <w:szCs w:val="22"/>
          <w:lang w:val="es-ES_tradnl"/>
        </w:rPr>
        <w:t xml:space="preserve"> </w:t>
      </w:r>
      <w:proofErr w:type="spellStart"/>
      <w:r w:rsidRPr="00B2558A">
        <w:rPr>
          <w:sz w:val="22"/>
          <w:szCs w:val="22"/>
          <w:lang w:val="es-ES_tradnl"/>
        </w:rPr>
        <w:t>skins</w:t>
      </w:r>
      <w:proofErr w:type="spellEnd"/>
      <w:r w:rsidRPr="00B2558A">
        <w:rPr>
          <w:sz w:val="22"/>
          <w:szCs w:val="22"/>
          <w:lang w:val="es-ES_tradnl"/>
        </w:rPr>
        <w:t>") comunes; caras de fricción ("</w:t>
      </w:r>
      <w:proofErr w:type="spellStart"/>
      <w:r w:rsidRPr="00B2558A">
        <w:rPr>
          <w:sz w:val="22"/>
          <w:szCs w:val="22"/>
          <w:lang w:val="es-ES_tradnl"/>
        </w:rPr>
        <w:t>slickensides</w:t>
      </w:r>
      <w:proofErr w:type="spellEnd"/>
      <w:r w:rsidRPr="00B2558A">
        <w:rPr>
          <w:sz w:val="22"/>
          <w:szCs w:val="22"/>
          <w:lang w:val="es-ES_tradnl"/>
        </w:rPr>
        <w:t>") escasas a comunes; moteados de hierro-manganeso comunes, finos y precisos; elevada alcalinidad; límite claro, suave.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2558A">
        <w:rPr>
          <w:b/>
          <w:sz w:val="22"/>
          <w:szCs w:val="22"/>
          <w:lang w:val="es-ES_tradnl"/>
        </w:rPr>
        <w:t>B22t</w:t>
      </w:r>
      <w:r w:rsidRPr="00B2558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2558A">
        <w:rPr>
          <w:sz w:val="22"/>
          <w:szCs w:val="22"/>
          <w:lang w:val="es-ES_tradnl"/>
        </w:rPr>
        <w:t>44-</w:t>
      </w:r>
      <w:smartTag w:uri="urn:schemas-microsoft-com:office:smarttags" w:element="metricconverter">
        <w:smartTagPr>
          <w:attr w:name="ProductID" w:val="65 cm"/>
        </w:smartTagPr>
        <w:r w:rsidRPr="00B2558A">
          <w:rPr>
            <w:sz w:val="22"/>
            <w:szCs w:val="22"/>
            <w:lang w:val="es-ES_tradnl"/>
          </w:rPr>
          <w:t>65 cm</w:t>
        </w:r>
      </w:smartTag>
      <w:r w:rsidRPr="00B2558A">
        <w:rPr>
          <w:sz w:val="22"/>
          <w:szCs w:val="22"/>
          <w:lang w:val="es-ES_tradnl"/>
        </w:rPr>
        <w:t>; pardo muy oscuro (10YR 4/1) en húmedo; arcillo-limoso; estructura en prismas compuestos irregulares,  débiles, que rompen en bloques angulares irregulares y cuneiformes medios, moderados; duro en seco, firme en húmedo; escasa cantidad de carbonatos libres en la masa; concreciones calcáreas escasas y finas; caras de fricción ("</w:t>
      </w:r>
      <w:proofErr w:type="spellStart"/>
      <w:r w:rsidRPr="00B2558A">
        <w:rPr>
          <w:sz w:val="22"/>
          <w:szCs w:val="22"/>
          <w:lang w:val="es-ES_tradnl"/>
        </w:rPr>
        <w:t>slickensides</w:t>
      </w:r>
      <w:proofErr w:type="spellEnd"/>
      <w:r w:rsidRPr="00B2558A">
        <w:rPr>
          <w:sz w:val="22"/>
          <w:szCs w:val="22"/>
          <w:lang w:val="es-ES_tradnl"/>
        </w:rPr>
        <w:t>") escasas a comunes; moteados de hierro-manganeso comunes, finos y precisos; límite claro, suave.</w:t>
      </w:r>
    </w:p>
    <w:p w:rsidR="00B2558A" w:rsidRPr="00B2558A" w:rsidRDefault="00B2558A" w:rsidP="00B2558A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B2558A" w:rsidRPr="00B2558A" w:rsidRDefault="00B2558A" w:rsidP="00B2558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2558A">
        <w:rPr>
          <w:b/>
          <w:sz w:val="22"/>
          <w:szCs w:val="22"/>
          <w:lang w:val="es-ES_tradnl"/>
        </w:rPr>
        <w:t>IIB3</w:t>
      </w:r>
      <w:r w:rsidRPr="00B2558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2558A">
        <w:rPr>
          <w:sz w:val="22"/>
          <w:szCs w:val="22"/>
          <w:lang w:val="es-ES_tradnl"/>
        </w:rPr>
        <w:t>65-</w:t>
      </w:r>
      <w:smartTag w:uri="urn:schemas-microsoft-com:office:smarttags" w:element="metricconverter">
        <w:smartTagPr>
          <w:attr w:name="ProductID" w:val="140 cm"/>
        </w:smartTagPr>
        <w:r w:rsidRPr="00B2558A">
          <w:rPr>
            <w:sz w:val="22"/>
            <w:szCs w:val="22"/>
            <w:lang w:val="es-ES_tradnl"/>
          </w:rPr>
          <w:t>140 cm</w:t>
        </w:r>
      </w:smartTag>
      <w:r w:rsidRPr="00B2558A">
        <w:rPr>
          <w:sz w:val="22"/>
          <w:szCs w:val="22"/>
          <w:lang w:val="es-ES_tradnl"/>
        </w:rPr>
        <w:t>; pardo oscuro (10YR 3/3) en húmedo; arcillo-limoso; estructura en prismas compuestos irregulares gruesos, débiles, que rompen en bloques angulares irregulares y cuneiformes medios, moderados; duro en seco, firme en húmedo; escasa cantidad de carbonatos libres en la masa; concreciones de hierro-manganeso comunes; barnices ("</w:t>
      </w:r>
      <w:proofErr w:type="spellStart"/>
      <w:r w:rsidRPr="00B2558A">
        <w:rPr>
          <w:sz w:val="22"/>
          <w:szCs w:val="22"/>
          <w:lang w:val="es-ES_tradnl"/>
        </w:rPr>
        <w:t>clay-humic</w:t>
      </w:r>
      <w:proofErr w:type="spellEnd"/>
      <w:r w:rsidRPr="00B2558A">
        <w:rPr>
          <w:sz w:val="22"/>
          <w:szCs w:val="22"/>
          <w:lang w:val="es-ES_tradnl"/>
        </w:rPr>
        <w:t xml:space="preserve"> </w:t>
      </w:r>
      <w:proofErr w:type="spellStart"/>
      <w:r w:rsidRPr="00B2558A">
        <w:rPr>
          <w:sz w:val="22"/>
          <w:szCs w:val="22"/>
          <w:lang w:val="es-ES_tradnl"/>
        </w:rPr>
        <w:t>skins</w:t>
      </w:r>
      <w:proofErr w:type="spellEnd"/>
      <w:r w:rsidRPr="00B2558A">
        <w:rPr>
          <w:sz w:val="22"/>
          <w:szCs w:val="22"/>
          <w:lang w:val="es-ES_tradnl"/>
        </w:rPr>
        <w:t>") comunes; caras de fricción ("</w:t>
      </w:r>
      <w:proofErr w:type="spellStart"/>
      <w:r w:rsidRPr="00B2558A">
        <w:rPr>
          <w:sz w:val="22"/>
          <w:szCs w:val="22"/>
          <w:lang w:val="es-ES_tradnl"/>
        </w:rPr>
        <w:t>slickenside</w:t>
      </w:r>
      <w:proofErr w:type="spellEnd"/>
      <w:r w:rsidRPr="00B2558A">
        <w:rPr>
          <w:sz w:val="22"/>
          <w:szCs w:val="22"/>
          <w:lang w:val="es-ES_tradnl"/>
        </w:rPr>
        <w:t xml:space="preserve">") comunes; moteados de hierro-manganeso abundantes, gruesos y sobresalientes; horizonte con evidencias de gley fósil y presencia de </w:t>
      </w:r>
      <w:proofErr w:type="spellStart"/>
      <w:r w:rsidRPr="00B2558A">
        <w:rPr>
          <w:sz w:val="22"/>
          <w:szCs w:val="22"/>
          <w:lang w:val="es-ES_tradnl"/>
        </w:rPr>
        <w:t>durinódulos</w:t>
      </w:r>
      <w:proofErr w:type="spellEnd"/>
      <w:r w:rsidRPr="00B2558A">
        <w:rPr>
          <w:sz w:val="22"/>
          <w:szCs w:val="22"/>
          <w:lang w:val="es-ES_tradnl"/>
        </w:rPr>
        <w:t xml:space="preserve">; concreciones calcáreas muy duras, de hasta </w:t>
      </w:r>
      <w:smartTag w:uri="urn:schemas-microsoft-com:office:smarttags" w:element="metricconverter">
        <w:smartTagPr>
          <w:attr w:name="ProductID" w:val="0,5 cm"/>
        </w:smartTagPr>
        <w:r w:rsidRPr="00B2558A">
          <w:rPr>
            <w:sz w:val="22"/>
            <w:szCs w:val="22"/>
            <w:lang w:val="es-ES_tradnl"/>
          </w:rPr>
          <w:t>0,5 cm</w:t>
        </w:r>
      </w:smartTag>
      <w:r w:rsidRPr="00B2558A">
        <w:rPr>
          <w:sz w:val="22"/>
          <w:szCs w:val="22"/>
          <w:lang w:val="es-ES_tradnl"/>
        </w:rPr>
        <w:t>.</w:t>
      </w:r>
    </w:p>
    <w:p w:rsidR="00B2558A" w:rsidRPr="00B2558A" w:rsidRDefault="00B2558A" w:rsidP="00B2558A">
      <w:pPr>
        <w:jc w:val="both"/>
        <w:rPr>
          <w:sz w:val="22"/>
          <w:szCs w:val="22"/>
          <w:u w:val="single"/>
          <w:lang w:val="es-ES_tradnl"/>
        </w:rPr>
      </w:pPr>
    </w:p>
    <w:p w:rsidR="00B2558A" w:rsidRDefault="00B2558A" w:rsidP="00B2558A">
      <w:pPr>
        <w:jc w:val="both"/>
        <w:rPr>
          <w:sz w:val="22"/>
          <w:szCs w:val="22"/>
          <w:u w:val="single"/>
          <w:lang w:val="es-ES_tradnl"/>
        </w:rPr>
      </w:pPr>
    </w:p>
    <w:p w:rsidR="00B2558A" w:rsidRDefault="00B2558A" w:rsidP="00B2558A">
      <w:pPr>
        <w:jc w:val="both"/>
        <w:rPr>
          <w:sz w:val="22"/>
          <w:szCs w:val="22"/>
          <w:u w:val="single"/>
          <w:lang w:val="es-ES_tradnl"/>
        </w:rPr>
      </w:pPr>
    </w:p>
    <w:p w:rsidR="00B2558A" w:rsidRDefault="00B2558A" w:rsidP="00B2558A">
      <w:pPr>
        <w:jc w:val="both"/>
        <w:rPr>
          <w:sz w:val="22"/>
          <w:szCs w:val="22"/>
          <w:u w:val="single"/>
          <w:lang w:val="es-ES_tradnl"/>
        </w:rPr>
      </w:pPr>
    </w:p>
    <w:p w:rsidR="00B2558A" w:rsidRPr="00B2558A" w:rsidRDefault="00B2558A" w:rsidP="00B2558A">
      <w:pPr>
        <w:jc w:val="both"/>
        <w:rPr>
          <w:b/>
          <w:sz w:val="22"/>
          <w:szCs w:val="22"/>
          <w:lang w:val="es-ES_tradnl"/>
        </w:rPr>
      </w:pPr>
      <w:r w:rsidRPr="00B2558A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sz w:val="22"/>
          <w:szCs w:val="22"/>
          <w:lang w:val="es-ES_tradnl"/>
        </w:rPr>
        <w:t xml:space="preserve">En general, el </w:t>
      </w:r>
      <w:proofErr w:type="spellStart"/>
      <w:r w:rsidRPr="00B2558A">
        <w:rPr>
          <w:sz w:val="22"/>
          <w:szCs w:val="22"/>
          <w:lang w:val="es-ES_tradnl"/>
        </w:rPr>
        <w:t>solum</w:t>
      </w:r>
      <w:proofErr w:type="spellEnd"/>
      <w:r w:rsidRPr="00B2558A">
        <w:rPr>
          <w:sz w:val="22"/>
          <w:szCs w:val="22"/>
          <w:lang w:val="es-ES_tradnl"/>
        </w:rPr>
        <w:t xml:space="preserve"> de estos suelos es relativamente somero (65-</w:t>
      </w:r>
      <w:smartTag w:uri="urn:schemas-microsoft-com:office:smarttags" w:element="metricconverter">
        <w:smartTagPr>
          <w:attr w:name="ProductID" w:val="70 cm"/>
        </w:smartTagPr>
        <w:r w:rsidRPr="00B2558A">
          <w:rPr>
            <w:sz w:val="22"/>
            <w:szCs w:val="22"/>
            <w:lang w:val="es-ES_tradnl"/>
          </w:rPr>
          <w:t>70 cm</w:t>
        </w:r>
      </w:smartTag>
      <w:r w:rsidRPr="00B2558A">
        <w:rPr>
          <w:sz w:val="22"/>
          <w:szCs w:val="22"/>
          <w:lang w:val="es-ES_tradnl"/>
        </w:rPr>
        <w:t>), pero el espesor varía de acuerdo al mayor o menor aporte aluvial que se produzcan con las crecientes del río Paraná.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sz w:val="22"/>
          <w:szCs w:val="22"/>
          <w:lang w:val="es-ES_tradnl"/>
        </w:rPr>
        <w:t xml:space="preserve">La serie presenta un proceso de alcalinización y salinización </w:t>
      </w:r>
      <w:r w:rsidRPr="00B2558A">
        <w:rPr>
          <w:sz w:val="22"/>
          <w:szCs w:val="22"/>
          <w:lang w:val="es-ES_tradnl"/>
        </w:rPr>
        <w:t>provocada</w:t>
      </w:r>
      <w:r w:rsidRPr="00B2558A">
        <w:rPr>
          <w:sz w:val="22"/>
          <w:szCs w:val="22"/>
          <w:lang w:val="es-ES_tradnl"/>
        </w:rPr>
        <w:t xml:space="preserve"> por la evaporación, en períodos de sequías, por ascenso capilar de aguas salobres de la </w:t>
      </w:r>
      <w:proofErr w:type="spellStart"/>
      <w:r w:rsidRPr="00B2558A">
        <w:rPr>
          <w:sz w:val="22"/>
          <w:szCs w:val="22"/>
          <w:lang w:val="es-ES_tradnl"/>
        </w:rPr>
        <w:t>napa</w:t>
      </w:r>
      <w:proofErr w:type="spellEnd"/>
      <w:r w:rsidRPr="00B2558A">
        <w:rPr>
          <w:sz w:val="22"/>
          <w:szCs w:val="22"/>
          <w:lang w:val="es-ES_tradnl"/>
        </w:rPr>
        <w:t xml:space="preserve"> freática, relicto de las </w:t>
      </w:r>
      <w:proofErr w:type="spellStart"/>
      <w:r w:rsidRPr="00B2558A">
        <w:rPr>
          <w:sz w:val="22"/>
          <w:szCs w:val="22"/>
          <w:lang w:val="es-ES_tradnl"/>
        </w:rPr>
        <w:t>ingresiones</w:t>
      </w:r>
      <w:proofErr w:type="spellEnd"/>
      <w:r w:rsidRPr="00B2558A">
        <w:rPr>
          <w:sz w:val="22"/>
          <w:szCs w:val="22"/>
          <w:lang w:val="es-ES_tradnl"/>
        </w:rPr>
        <w:t xml:space="preserve"> marinas ocurridas probablemente en el período cuaternario medio a superior, que dio origen al estuario antiguo del actual </w:t>
      </w:r>
      <w:proofErr w:type="spellStart"/>
      <w:r w:rsidRPr="00B2558A">
        <w:rPr>
          <w:sz w:val="22"/>
          <w:szCs w:val="22"/>
          <w:lang w:val="es-ES_tradnl"/>
        </w:rPr>
        <w:t>predelta</w:t>
      </w:r>
      <w:proofErr w:type="spellEnd"/>
      <w:r w:rsidRPr="00B2558A">
        <w:rPr>
          <w:sz w:val="22"/>
          <w:szCs w:val="22"/>
          <w:lang w:val="es-ES_tradnl"/>
        </w:rPr>
        <w:t xml:space="preserve"> del río Paraná.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sz w:val="22"/>
          <w:szCs w:val="22"/>
          <w:lang w:val="es-ES_tradnl"/>
        </w:rPr>
        <w:t xml:space="preserve">Generalmente presenta una vegetación rala, típica de los ambientes salino-alcalinos, pero en áreas algo más elevadas donde el drenaje mejora y la salinización es menor, se desarrolla un monte abierto dominado por especies como Algarrobo blanco, con un mejoramiento general de su vegetación.      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sz w:val="22"/>
          <w:szCs w:val="22"/>
          <w:lang w:val="es-ES_tradnl"/>
        </w:rPr>
        <w:t>Son suelos muy hidromórficos que suelen permanecer muy anegados por largos períodos con las crecidas estacionales del río o, simplemente, cuando las lluvias son intensas.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sz w:val="22"/>
          <w:szCs w:val="22"/>
          <w:lang w:val="es-ES_tradnl"/>
        </w:rPr>
        <w:t xml:space="preserve">El </w:t>
      </w:r>
      <w:proofErr w:type="spellStart"/>
      <w:r w:rsidRPr="00B2558A">
        <w:rPr>
          <w:sz w:val="22"/>
          <w:szCs w:val="22"/>
          <w:lang w:val="es-ES_tradnl"/>
        </w:rPr>
        <w:t>epipedón</w:t>
      </w:r>
      <w:proofErr w:type="spellEnd"/>
      <w:r w:rsidRPr="00B2558A">
        <w:rPr>
          <w:sz w:val="22"/>
          <w:szCs w:val="22"/>
          <w:lang w:val="es-ES_tradnl"/>
        </w:rPr>
        <w:t xml:space="preserve"> (A11+A12) no supera los </w:t>
      </w:r>
      <w:smartTag w:uri="urn:schemas-microsoft-com:office:smarttags" w:element="metricconverter">
        <w:smartTagPr>
          <w:attr w:name="ProductID" w:val="20 cm"/>
        </w:smartTagPr>
        <w:r w:rsidRPr="00B2558A">
          <w:rPr>
            <w:sz w:val="22"/>
            <w:szCs w:val="22"/>
            <w:lang w:val="es-ES_tradnl"/>
          </w:rPr>
          <w:t>20 cm</w:t>
        </w:r>
      </w:smartTag>
      <w:r w:rsidRPr="00B2558A">
        <w:rPr>
          <w:sz w:val="22"/>
          <w:szCs w:val="22"/>
          <w:lang w:val="es-ES_tradnl"/>
        </w:rPr>
        <w:t xml:space="preserve"> de profundidad, es de textura franco-arcillo limosa y tiene abundantes moteados. Le sigue un B2t arcillo-limoso, con concreciones de carbonato a los </w:t>
      </w:r>
      <w:smartTag w:uri="urn:schemas-microsoft-com:office:smarttags" w:element="metricconverter">
        <w:smartTagPr>
          <w:attr w:name="ProductID" w:val="45 cm"/>
        </w:smartTagPr>
        <w:r w:rsidRPr="00B2558A">
          <w:rPr>
            <w:sz w:val="22"/>
            <w:szCs w:val="22"/>
            <w:lang w:val="es-ES_tradnl"/>
          </w:rPr>
          <w:t>45 cm</w:t>
        </w:r>
      </w:smartTag>
      <w:r w:rsidRPr="00B2558A">
        <w:rPr>
          <w:sz w:val="22"/>
          <w:szCs w:val="22"/>
          <w:lang w:val="es-ES_tradnl"/>
        </w:rPr>
        <w:t xml:space="preserve"> de profundidad y presencia de abundantes moteados.</w:t>
      </w:r>
    </w:p>
    <w:p w:rsidR="00B2558A" w:rsidRPr="00B2558A" w:rsidRDefault="00B2558A" w:rsidP="00B2558A">
      <w:pPr>
        <w:jc w:val="both"/>
        <w:rPr>
          <w:sz w:val="22"/>
          <w:szCs w:val="22"/>
          <w:u w:val="single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u w:val="single"/>
          <w:lang w:val="es-ES_tradnl"/>
        </w:rPr>
      </w:pPr>
    </w:p>
    <w:p w:rsidR="00B2558A" w:rsidRPr="00B2558A" w:rsidRDefault="00B2558A" w:rsidP="00B2558A">
      <w:pPr>
        <w:jc w:val="both"/>
        <w:rPr>
          <w:b/>
          <w:sz w:val="22"/>
          <w:szCs w:val="22"/>
          <w:lang w:val="es-ES_tradnl"/>
        </w:rPr>
      </w:pPr>
      <w:r w:rsidRPr="00B2558A">
        <w:rPr>
          <w:b/>
          <w:sz w:val="22"/>
          <w:szCs w:val="22"/>
          <w:u w:val="single"/>
          <w:lang w:val="es-ES_tradnl"/>
        </w:rPr>
        <w:t>Fases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color w:val="000000"/>
          <w:sz w:val="22"/>
          <w:szCs w:val="22"/>
        </w:rPr>
      </w:pPr>
      <w:r w:rsidRPr="00B2558A">
        <w:rPr>
          <w:b/>
          <w:sz w:val="22"/>
          <w:szCs w:val="22"/>
          <w:lang w:val="es-ES_tradnl"/>
        </w:rPr>
        <w:t xml:space="preserve">Serie Punta del Monte fase muy anegable </w:t>
      </w:r>
      <w:r w:rsidRPr="00B2558A">
        <w:rPr>
          <w:b/>
          <w:sz w:val="22"/>
          <w:szCs w:val="22"/>
          <w:lang w:val="es-ES_tradnl"/>
        </w:rPr>
        <w:tab/>
      </w:r>
      <w:r w:rsidRPr="00B2558A">
        <w:rPr>
          <w:b/>
          <w:sz w:val="22"/>
          <w:szCs w:val="22"/>
          <w:lang w:val="es-ES_tradnl"/>
        </w:rPr>
        <w:tab/>
      </w:r>
      <w:r w:rsidRPr="00B2558A">
        <w:rPr>
          <w:b/>
          <w:sz w:val="22"/>
          <w:szCs w:val="22"/>
          <w:lang w:val="es-ES_tradnl"/>
        </w:rPr>
        <w:tab/>
      </w:r>
      <w:r w:rsidRPr="00B2558A">
        <w:rPr>
          <w:b/>
          <w:sz w:val="22"/>
          <w:szCs w:val="22"/>
          <w:lang w:val="es-ES_tradnl"/>
        </w:rPr>
        <w:tab/>
      </w:r>
      <w:r w:rsidRPr="00B2558A">
        <w:rPr>
          <w:sz w:val="22"/>
          <w:szCs w:val="22"/>
          <w:lang w:val="es-ES_tradnl"/>
        </w:rPr>
        <w:t xml:space="preserve">     </w:t>
      </w:r>
      <w:r w:rsidR="00F73ED2">
        <w:rPr>
          <w:sz w:val="22"/>
          <w:szCs w:val="22"/>
          <w:lang w:val="es-ES_tradnl"/>
        </w:rPr>
        <w:t xml:space="preserve">  </w:t>
      </w:r>
      <w:r w:rsidRPr="00B2558A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B2558A">
        <w:rPr>
          <w:sz w:val="22"/>
          <w:szCs w:val="22"/>
          <w:lang w:val="es-ES_tradnl"/>
        </w:rPr>
        <w:t xml:space="preserve">  </w:t>
      </w:r>
      <w:r w:rsidRPr="00B2558A">
        <w:rPr>
          <w:b/>
          <w:sz w:val="22"/>
          <w:szCs w:val="22"/>
          <w:lang w:val="es-ES_tradnl"/>
        </w:rPr>
        <w:t xml:space="preserve">Símbolo: PMo.w2 </w:t>
      </w:r>
    </w:p>
    <w:p w:rsidR="00B2558A" w:rsidRPr="00B2558A" w:rsidRDefault="00B2558A" w:rsidP="00B2558A">
      <w:pPr>
        <w:ind w:firstLine="720"/>
        <w:jc w:val="both"/>
        <w:rPr>
          <w:sz w:val="22"/>
          <w:szCs w:val="22"/>
        </w:rPr>
      </w:pPr>
    </w:p>
    <w:p w:rsidR="00B2558A" w:rsidRPr="00B2558A" w:rsidRDefault="00B2558A" w:rsidP="00B2558A">
      <w:pPr>
        <w:ind w:firstLine="720"/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b/>
          <w:sz w:val="22"/>
          <w:szCs w:val="22"/>
          <w:lang w:val="es-ES_tradnl"/>
        </w:rPr>
      </w:pPr>
      <w:r w:rsidRPr="00B2558A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Punta"/>
        </w:smartTagPr>
        <w:r w:rsidRPr="00B2558A">
          <w:rPr>
            <w:sz w:val="22"/>
            <w:szCs w:val="22"/>
            <w:lang w:val="es-ES_tradnl"/>
          </w:rPr>
          <w:t>La serie Punta</w:t>
        </w:r>
      </w:smartTag>
      <w:r w:rsidRPr="00B2558A">
        <w:rPr>
          <w:sz w:val="22"/>
          <w:szCs w:val="22"/>
          <w:lang w:val="es-ES_tradnl"/>
        </w:rPr>
        <w:t xml:space="preserve"> del Monte se parece a </w:t>
      </w:r>
      <w:smartTag w:uri="urn:schemas-microsoft-com:office:smarttags" w:element="PersonName">
        <w:smartTagPr>
          <w:attr w:name="ProductID" w:val="la serie El Estribo"/>
        </w:smartTagPr>
        <w:r w:rsidRPr="00B2558A">
          <w:rPr>
            <w:sz w:val="22"/>
            <w:szCs w:val="22"/>
            <w:lang w:val="es-ES_tradnl"/>
          </w:rPr>
          <w:t>la serie El Estribo</w:t>
        </w:r>
      </w:smartTag>
      <w:r w:rsidRPr="00B2558A">
        <w:rPr>
          <w:sz w:val="22"/>
          <w:szCs w:val="22"/>
          <w:lang w:val="es-ES_tradnl"/>
        </w:rPr>
        <w:t xml:space="preserve"> (pero ésta tiene un perfil más profundo y no es salina) y es similar, también, a </w:t>
      </w:r>
      <w:smartTag w:uri="urn:schemas-microsoft-com:office:smarttags" w:element="PersonName">
        <w:smartTagPr>
          <w:attr w:name="ProductID" w:val="la serie General Nazar"/>
        </w:smartTagPr>
        <w:r w:rsidRPr="00B2558A">
          <w:rPr>
            <w:sz w:val="22"/>
            <w:szCs w:val="22"/>
            <w:lang w:val="es-ES_tradnl"/>
          </w:rPr>
          <w:t xml:space="preserve">la serie General </w:t>
        </w:r>
        <w:proofErr w:type="spellStart"/>
        <w:r w:rsidRPr="00B2558A">
          <w:rPr>
            <w:sz w:val="22"/>
            <w:szCs w:val="22"/>
            <w:lang w:val="es-ES_tradnl"/>
          </w:rPr>
          <w:t>Nazar</w:t>
        </w:r>
      </w:smartTag>
      <w:proofErr w:type="spellEnd"/>
      <w:r w:rsidRPr="00B2558A">
        <w:rPr>
          <w:sz w:val="22"/>
          <w:szCs w:val="22"/>
          <w:lang w:val="es-ES_tradnl"/>
        </w:rPr>
        <w:t xml:space="preserve"> (pero ésta no es salina y es menos alcalina).</w:t>
      </w:r>
    </w:p>
    <w:p w:rsidR="00B2558A" w:rsidRPr="00B2558A" w:rsidRDefault="00B2558A" w:rsidP="00B2558A">
      <w:pPr>
        <w:jc w:val="both"/>
        <w:rPr>
          <w:sz w:val="22"/>
          <w:szCs w:val="22"/>
          <w:u w:val="single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u w:val="single"/>
          <w:lang w:val="es-ES_tradnl"/>
        </w:rPr>
      </w:pPr>
    </w:p>
    <w:p w:rsidR="00B2558A" w:rsidRPr="00B2558A" w:rsidRDefault="00B2558A" w:rsidP="00B2558A">
      <w:pPr>
        <w:jc w:val="both"/>
        <w:rPr>
          <w:b/>
          <w:sz w:val="22"/>
          <w:szCs w:val="22"/>
          <w:lang w:val="es-ES_tradnl"/>
        </w:rPr>
      </w:pPr>
      <w:r w:rsidRPr="00B2558A">
        <w:rPr>
          <w:b/>
          <w:sz w:val="22"/>
          <w:szCs w:val="22"/>
          <w:u w:val="single"/>
          <w:lang w:val="es-ES_tradnl"/>
        </w:rPr>
        <w:t>Drenaje</w:t>
      </w: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sz w:val="22"/>
          <w:szCs w:val="22"/>
          <w:lang w:val="es-ES_tradnl"/>
        </w:rPr>
      </w:pPr>
      <w:r w:rsidRPr="00B2558A">
        <w:rPr>
          <w:sz w:val="22"/>
          <w:szCs w:val="22"/>
          <w:lang w:val="es-ES_tradnl"/>
        </w:rPr>
        <w:t>Muy pobremente drenado; escurrimiento superficial estancado. Permeabilidad lenta a muy lenta. Napa freática superficial. Grupo hidrológico D.</w:t>
      </w:r>
    </w:p>
    <w:p w:rsidR="00B2558A" w:rsidRPr="00B2558A" w:rsidRDefault="00B2558A" w:rsidP="00B2558A">
      <w:pPr>
        <w:tabs>
          <w:tab w:val="center" w:pos="4512"/>
        </w:tabs>
        <w:jc w:val="both"/>
        <w:rPr>
          <w:b/>
          <w:sz w:val="22"/>
          <w:szCs w:val="22"/>
          <w:lang w:val="es-ES_tradnl"/>
        </w:rPr>
      </w:pPr>
      <w:r w:rsidRPr="00B2558A">
        <w:rPr>
          <w:sz w:val="22"/>
          <w:szCs w:val="22"/>
          <w:lang w:val="es-ES_tradnl"/>
        </w:rPr>
        <w:br w:type="page"/>
      </w:r>
      <w:r w:rsidRPr="00B2558A">
        <w:rPr>
          <w:b/>
          <w:sz w:val="22"/>
          <w:szCs w:val="22"/>
          <w:lang w:val="es-ES_tradnl"/>
        </w:rPr>
        <w:lastRenderedPageBreak/>
        <w:tab/>
      </w:r>
    </w:p>
    <w:p w:rsidR="00B2558A" w:rsidRPr="00B2558A" w:rsidRDefault="00B2558A" w:rsidP="00F73ED2">
      <w:pPr>
        <w:tabs>
          <w:tab w:val="center" w:pos="4512"/>
        </w:tabs>
        <w:rPr>
          <w:b/>
          <w:sz w:val="22"/>
          <w:szCs w:val="22"/>
          <w:lang w:val="es-ES_tradnl"/>
        </w:rPr>
      </w:pPr>
      <w:r w:rsidRPr="00B2558A">
        <w:rPr>
          <w:b/>
          <w:sz w:val="22"/>
          <w:szCs w:val="22"/>
          <w:u w:val="single"/>
          <w:lang w:val="es-ES_tradnl"/>
        </w:rPr>
        <w:t>DATOS ANALITICOS DEL PERFIL TIPO</w:t>
      </w:r>
    </w:p>
    <w:p w:rsidR="00B2558A" w:rsidRPr="00B2558A" w:rsidRDefault="00B2558A" w:rsidP="00B2558A">
      <w:pPr>
        <w:jc w:val="both"/>
        <w:rPr>
          <w:b/>
          <w:sz w:val="22"/>
          <w:szCs w:val="22"/>
          <w:lang w:val="es-ES_tradnl"/>
        </w:rPr>
      </w:pPr>
    </w:p>
    <w:p w:rsidR="00B2558A" w:rsidRPr="00B2558A" w:rsidRDefault="00B2558A" w:rsidP="00B2558A">
      <w:pPr>
        <w:jc w:val="both"/>
        <w:rPr>
          <w:b/>
          <w:sz w:val="22"/>
          <w:szCs w:val="22"/>
          <w:lang w:val="es-ES_tradnl"/>
        </w:rPr>
      </w:pPr>
      <w:r w:rsidRPr="00B2558A">
        <w:rPr>
          <w:b/>
          <w:sz w:val="22"/>
          <w:szCs w:val="22"/>
          <w:u w:val="single"/>
          <w:lang w:val="es-ES_tradnl"/>
        </w:rPr>
        <w:t>Serie Punta del Monte</w:t>
      </w:r>
    </w:p>
    <w:p w:rsidR="00B2558A" w:rsidRPr="00B2558A" w:rsidRDefault="00B2558A" w:rsidP="00B2558A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pt-B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105"/>
        <w:gridCol w:w="580"/>
        <w:gridCol w:w="1550"/>
        <w:gridCol w:w="1134"/>
        <w:gridCol w:w="1134"/>
        <w:gridCol w:w="1134"/>
        <w:gridCol w:w="1134"/>
        <w:gridCol w:w="1134"/>
      </w:tblGrid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</w:tcPr>
          <w:p w:rsidR="00B2558A" w:rsidRPr="00B2558A" w:rsidRDefault="00B2558A" w:rsidP="00B2558A">
            <w:pPr>
              <w:rPr>
                <w:b/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ER1-</w:t>
            </w:r>
            <w:smartTag w:uri="urn:schemas-microsoft-com:office:smarttags" w:element="metricconverter">
              <w:smartTagPr>
                <w:attr w:name="ProductID" w:val="87C"/>
              </w:smartTagPr>
              <w:r w:rsidRPr="00B2558A">
                <w:rPr>
                  <w:sz w:val="22"/>
                  <w:szCs w:val="22"/>
                </w:rPr>
                <w:t>87C</w:t>
              </w:r>
            </w:smartTag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7221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7222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7223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7224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7225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Horizonte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IIB3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03-10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13-19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24-40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46-63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90-110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proofErr w:type="spellStart"/>
            <w:r w:rsidRPr="00B2558A">
              <w:rPr>
                <w:sz w:val="22"/>
                <w:szCs w:val="22"/>
              </w:rPr>
              <w:t>Mat.orgánica</w:t>
            </w:r>
            <w:proofErr w:type="spellEnd"/>
            <w:r w:rsidRPr="00B2558A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2.08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1.34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1.05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0.52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0.15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</w:tcPr>
          <w:p w:rsidR="00B2558A" w:rsidRPr="00B2558A" w:rsidRDefault="00B2558A" w:rsidP="00B2558A">
            <w:pPr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0.02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13.02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8.78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7.47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6.22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3.64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790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  <w:lang w:val="en-US"/>
              </w:rPr>
            </w:pPr>
          </w:p>
          <w:p w:rsidR="00B2558A" w:rsidRPr="00B2558A" w:rsidRDefault="00B2558A" w:rsidP="00B2558A">
            <w:pPr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 xml:space="preserve">T                     </w:t>
            </w:r>
          </w:p>
        </w:tc>
        <w:tc>
          <w:tcPr>
            <w:tcW w:w="2130" w:type="dxa"/>
            <w:gridSpan w:val="2"/>
          </w:tcPr>
          <w:p w:rsidR="00B2558A" w:rsidRPr="00B2558A" w:rsidRDefault="00B2558A" w:rsidP="00B2558A">
            <w:pPr>
              <w:jc w:val="right"/>
              <w:rPr>
                <w:sz w:val="22"/>
                <w:szCs w:val="22"/>
                <w:lang w:val="en-US"/>
              </w:rPr>
            </w:pPr>
          </w:p>
          <w:p w:rsidR="00B2558A" w:rsidRPr="00B2558A" w:rsidRDefault="00B2558A" w:rsidP="00B2558A">
            <w:pPr>
              <w:jc w:val="right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 xml:space="preserve">&lt;2 </w:t>
            </w:r>
            <w:r w:rsidRPr="00B2558A">
              <w:rPr>
                <w:sz w:val="22"/>
                <w:szCs w:val="22"/>
              </w:rPr>
              <w:t>µ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20.14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46.35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50.15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48.60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40.89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790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 xml:space="preserve">E                      </w:t>
            </w:r>
          </w:p>
        </w:tc>
        <w:tc>
          <w:tcPr>
            <w:tcW w:w="2130" w:type="dxa"/>
            <w:gridSpan w:val="2"/>
          </w:tcPr>
          <w:p w:rsidR="00B2558A" w:rsidRPr="00B2558A" w:rsidRDefault="00B2558A" w:rsidP="00B2558A">
            <w:pPr>
              <w:jc w:val="right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2-20 µ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25.23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24.61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24.64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25.01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27.08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790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 xml:space="preserve">X                      </w:t>
            </w:r>
          </w:p>
        </w:tc>
        <w:tc>
          <w:tcPr>
            <w:tcW w:w="2130" w:type="dxa"/>
            <w:gridSpan w:val="2"/>
          </w:tcPr>
          <w:p w:rsidR="00B2558A" w:rsidRPr="00B2558A" w:rsidRDefault="00B2558A" w:rsidP="00B2558A">
            <w:pPr>
              <w:jc w:val="right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2-50 µ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55.68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49.54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47.51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47.71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46.75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790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 xml:space="preserve">T                  </w:t>
            </w:r>
          </w:p>
        </w:tc>
        <w:tc>
          <w:tcPr>
            <w:tcW w:w="2130" w:type="dxa"/>
            <w:gridSpan w:val="2"/>
          </w:tcPr>
          <w:p w:rsidR="00B2558A" w:rsidRPr="00B2558A" w:rsidRDefault="00B2558A" w:rsidP="00B2558A">
            <w:pPr>
              <w:jc w:val="right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50-100 µ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4.01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1.16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0.44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1.09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5.19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790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 xml:space="preserve">U                </w:t>
            </w:r>
          </w:p>
        </w:tc>
        <w:tc>
          <w:tcPr>
            <w:tcW w:w="2130" w:type="dxa"/>
            <w:gridSpan w:val="2"/>
          </w:tcPr>
          <w:p w:rsidR="00B2558A" w:rsidRPr="00B2558A" w:rsidRDefault="00B2558A" w:rsidP="00B2558A">
            <w:pPr>
              <w:jc w:val="right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100-500 µ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11.13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2.92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1.88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2.46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6.97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790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 xml:space="preserve">R                </w:t>
            </w:r>
          </w:p>
        </w:tc>
        <w:tc>
          <w:tcPr>
            <w:tcW w:w="2130" w:type="dxa"/>
            <w:gridSpan w:val="2"/>
          </w:tcPr>
          <w:p w:rsidR="00B2558A" w:rsidRPr="00B2558A" w:rsidRDefault="00B2558A" w:rsidP="00B2558A">
            <w:pPr>
              <w:jc w:val="right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500-1000 µ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0.04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0.09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0.08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790" w:type="dxa"/>
            <w:gridSpan w:val="2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 xml:space="preserve">A              </w:t>
            </w:r>
          </w:p>
        </w:tc>
        <w:tc>
          <w:tcPr>
            <w:tcW w:w="2130" w:type="dxa"/>
            <w:gridSpan w:val="2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right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1000-2000 µ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0.12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</w:tcPr>
          <w:p w:rsidR="00B2558A" w:rsidRPr="00B2558A" w:rsidRDefault="00B2558A" w:rsidP="00B2558A">
            <w:pPr>
              <w:rPr>
                <w:sz w:val="22"/>
                <w:szCs w:val="22"/>
                <w:lang w:val="en-US"/>
              </w:rPr>
            </w:pPr>
          </w:p>
          <w:p w:rsidR="00B2558A" w:rsidRPr="00B2558A" w:rsidRDefault="00B2558A" w:rsidP="00B2558A">
            <w:pPr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0.0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</w:tcPr>
          <w:p w:rsidR="00B2558A" w:rsidRPr="00B2558A" w:rsidRDefault="00B2558A" w:rsidP="00B2558A">
            <w:pPr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8.2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9.2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9.4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9.5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9.0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B2558A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7.3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8.4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8.5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8.7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8.3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c>
          <w:tcPr>
            <w:tcW w:w="2920" w:type="dxa"/>
            <w:gridSpan w:val="4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rPr>
                <w:sz w:val="22"/>
                <w:szCs w:val="22"/>
                <w:lang w:val="en-US"/>
              </w:rPr>
            </w:pPr>
            <w:r w:rsidRPr="00B2558A">
              <w:rPr>
                <w:sz w:val="22"/>
                <w:szCs w:val="22"/>
                <w:lang w:val="en-US"/>
              </w:rPr>
              <w:t>C.E. (</w:t>
            </w:r>
            <w:proofErr w:type="spellStart"/>
            <w:r w:rsidRPr="00B2558A">
              <w:rPr>
                <w:sz w:val="22"/>
                <w:szCs w:val="22"/>
                <w:lang w:val="en-US"/>
              </w:rPr>
              <w:t>mmhos</w:t>
            </w:r>
            <w:proofErr w:type="spellEnd"/>
            <w:r w:rsidRPr="00B2558A">
              <w:rPr>
                <w:sz w:val="22"/>
                <w:szCs w:val="22"/>
                <w:lang w:val="en-US"/>
              </w:rPr>
              <w:t>/cm)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8.19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10.23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16.26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11.94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5.26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trHeight w:val="1166"/>
        </w:trPr>
        <w:tc>
          <w:tcPr>
            <w:tcW w:w="2920" w:type="dxa"/>
            <w:gridSpan w:val="4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Capacidad de intercambio</w:t>
            </w:r>
          </w:p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catiónico (</w:t>
            </w:r>
            <w:proofErr w:type="spellStart"/>
            <w:r w:rsidRPr="00B2558A">
              <w:rPr>
                <w:sz w:val="22"/>
                <w:szCs w:val="22"/>
              </w:rPr>
              <w:t>m.e</w:t>
            </w:r>
            <w:proofErr w:type="spellEnd"/>
            <w:r w:rsidRPr="00B2558A">
              <w:rPr>
                <w:sz w:val="22"/>
                <w:szCs w:val="22"/>
              </w:rPr>
              <w:t>./100 g) =</w:t>
            </w:r>
          </w:p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22.00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23.00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42.50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33.00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29.00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D</w:t>
            </w:r>
          </w:p>
        </w:tc>
        <w:tc>
          <w:tcPr>
            <w:tcW w:w="1550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11.60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12.30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19.30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13.30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14.50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E</w:t>
            </w:r>
          </w:p>
        </w:tc>
        <w:tc>
          <w:tcPr>
            <w:tcW w:w="1550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550" w:type="dxa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1.80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1.90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3.60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2.70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2.50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685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1550" w:type="dxa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685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550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1.50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1.60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2.00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1.70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1.50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M</w:t>
            </w:r>
          </w:p>
        </w:tc>
        <w:tc>
          <w:tcPr>
            <w:tcW w:w="1550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B</w:t>
            </w:r>
          </w:p>
        </w:tc>
        <w:tc>
          <w:tcPr>
            <w:tcW w:w="1550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proofErr w:type="spellStart"/>
            <w:r w:rsidRPr="00B2558A">
              <w:rPr>
                <w:sz w:val="22"/>
                <w:szCs w:val="22"/>
              </w:rPr>
              <w:t>Na</w:t>
            </w:r>
            <w:proofErr w:type="spellEnd"/>
            <w:r w:rsidRPr="00B2558A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6.30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6.50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17.10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12.40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10.30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685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1550" w:type="dxa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B2558A" w:rsidRPr="00B2558A" w:rsidRDefault="00B2558A" w:rsidP="00B2558A">
            <w:pPr>
              <w:rPr>
                <w:sz w:val="22"/>
                <w:szCs w:val="22"/>
                <w:lang w:val="es-ES_tradnl"/>
              </w:rPr>
            </w:pPr>
            <w:r w:rsidRPr="00B2558A">
              <w:rPr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685" w:type="dxa"/>
            <w:gridSpan w:val="2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O</w:t>
            </w:r>
          </w:p>
        </w:tc>
        <w:tc>
          <w:tcPr>
            <w:tcW w:w="1550" w:type="dxa"/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-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4"/>
            <w:tcBorders>
              <w:bottom w:val="single" w:sz="4" w:space="0" w:color="auto"/>
            </w:tcBorders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B2558A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B2558A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28.6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28.3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40.2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37.6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35.5</w:t>
            </w:r>
          </w:p>
        </w:tc>
      </w:tr>
      <w:tr w:rsidR="00B2558A" w:rsidRPr="00B2558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20" w:type="dxa"/>
            <w:gridSpan w:val="4"/>
            <w:tcBorders>
              <w:top w:val="single" w:sz="4" w:space="0" w:color="auto"/>
            </w:tcBorders>
          </w:tcPr>
          <w:p w:rsidR="00B2558A" w:rsidRPr="00B2558A" w:rsidRDefault="00B2558A" w:rsidP="00B2558A">
            <w:pPr>
              <w:rPr>
                <w:sz w:val="22"/>
                <w:szCs w:val="22"/>
              </w:rPr>
            </w:pPr>
          </w:p>
          <w:p w:rsidR="00B2558A" w:rsidRPr="00B2558A" w:rsidRDefault="00B2558A" w:rsidP="00F73ED2">
            <w:pPr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 xml:space="preserve">Equivalente de </w:t>
            </w:r>
            <w:bookmarkStart w:id="0" w:name="_GoBack"/>
            <w:bookmarkEnd w:id="0"/>
            <w:r w:rsidRPr="00B2558A">
              <w:rPr>
                <w:sz w:val="22"/>
                <w:szCs w:val="22"/>
              </w:rPr>
              <w:t>humedad (%)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30.87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48.67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49.70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46.71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</w:p>
          <w:p w:rsidR="00B2558A" w:rsidRPr="00B2558A" w:rsidRDefault="00B2558A" w:rsidP="00B2558A">
            <w:pPr>
              <w:jc w:val="center"/>
              <w:rPr>
                <w:sz w:val="22"/>
                <w:szCs w:val="22"/>
              </w:rPr>
            </w:pPr>
            <w:r w:rsidRPr="00B2558A">
              <w:rPr>
                <w:sz w:val="22"/>
                <w:szCs w:val="22"/>
              </w:rPr>
              <w:t>39.89</w:t>
            </w:r>
          </w:p>
        </w:tc>
      </w:tr>
    </w:tbl>
    <w:p w:rsidR="008808C5" w:rsidRPr="00B2558A" w:rsidRDefault="008808C5" w:rsidP="00B2558A">
      <w:pPr>
        <w:rPr>
          <w:sz w:val="22"/>
          <w:szCs w:val="22"/>
        </w:rPr>
      </w:pPr>
    </w:p>
    <w:sectPr w:rsidR="008808C5" w:rsidRPr="00B25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8A"/>
    <w:rsid w:val="008808C5"/>
    <w:rsid w:val="00B2558A"/>
    <w:rsid w:val="00F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B2558A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B2558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B2558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2558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B2558A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B2558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B2558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2558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2014-01-28T14:36:00Z</dcterms:created>
  <dcterms:modified xsi:type="dcterms:W3CDTF">2014-01-28T14:47:00Z</dcterms:modified>
</cp:coreProperties>
</file>