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3F" w:rsidRPr="0007097A" w:rsidRDefault="001F7C3F" w:rsidP="0007097A">
      <w:pPr>
        <w:pStyle w:val="Encabezado"/>
        <w:tabs>
          <w:tab w:val="clear" w:pos="4419"/>
          <w:tab w:val="clear" w:pos="8838"/>
        </w:tabs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07097A">
        <w:rPr>
          <w:b/>
          <w:szCs w:val="24"/>
        </w:rPr>
        <w:t xml:space="preserve">SERIE RAICES OESTE                                              </w:t>
      </w:r>
      <w:r w:rsidRPr="0007097A">
        <w:rPr>
          <w:szCs w:val="24"/>
        </w:rPr>
        <w:t xml:space="preserve">                        </w:t>
      </w:r>
      <w:r w:rsidR="0007097A">
        <w:rPr>
          <w:szCs w:val="24"/>
        </w:rPr>
        <w:t xml:space="preserve">    </w:t>
      </w:r>
      <w:r w:rsidRPr="0007097A">
        <w:rPr>
          <w:szCs w:val="24"/>
        </w:rPr>
        <w:t xml:space="preserve">        Símbolo</w:t>
      </w:r>
      <w:r w:rsidRPr="0007097A">
        <w:rPr>
          <w:b/>
          <w:szCs w:val="24"/>
        </w:rPr>
        <w:t>: RO</w:t>
      </w:r>
    </w:p>
    <w:p w:rsidR="001F7C3F" w:rsidRPr="0007097A" w:rsidRDefault="001F7C3F" w:rsidP="0007097A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pStyle w:val="Textoindependiente2"/>
        <w:ind w:firstLine="0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7097A">
        <w:rPr>
          <w:sz w:val="22"/>
          <w:szCs w:val="22"/>
          <w:lang w:val="es-ES_tradnl"/>
        </w:rPr>
        <w:t>montmorillonítica</w:t>
      </w:r>
      <w:proofErr w:type="spellEnd"/>
      <w:r w:rsidRPr="0007097A">
        <w:rPr>
          <w:sz w:val="22"/>
          <w:szCs w:val="22"/>
          <w:lang w:val="es-ES_tradnl"/>
        </w:rPr>
        <w:t xml:space="preserve"> levemente alcalina, térmica" de los </w:t>
      </w:r>
      <w:proofErr w:type="spellStart"/>
      <w:r w:rsidRPr="0007097A">
        <w:rPr>
          <w:sz w:val="22"/>
          <w:szCs w:val="22"/>
          <w:u w:val="single"/>
          <w:lang w:val="es-ES_tradnl"/>
        </w:rPr>
        <w:t>Peludertes</w:t>
      </w:r>
      <w:proofErr w:type="spellEnd"/>
      <w:r w:rsidRPr="0007097A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7097A">
        <w:rPr>
          <w:sz w:val="22"/>
          <w:szCs w:val="22"/>
          <w:u w:val="single"/>
          <w:lang w:val="es-ES_tradnl"/>
        </w:rPr>
        <w:t>mólicos</w:t>
      </w:r>
      <w:proofErr w:type="spellEnd"/>
      <w:r w:rsidRPr="0007097A">
        <w:rPr>
          <w:sz w:val="22"/>
          <w:szCs w:val="22"/>
          <w:lang w:val="es-ES_tradnl"/>
        </w:rPr>
        <w:t xml:space="preserve">. Suelos oscuros, moderadamente bien drenados, desarrollados en materiales lacustres (limos calcáreos). Con presencia de </w:t>
      </w:r>
      <w:proofErr w:type="spellStart"/>
      <w:r w:rsidRPr="0007097A">
        <w:rPr>
          <w:sz w:val="22"/>
          <w:szCs w:val="22"/>
          <w:lang w:val="es-ES_tradnl"/>
        </w:rPr>
        <w:t>gilgai</w:t>
      </w:r>
      <w:proofErr w:type="spellEnd"/>
      <w:r w:rsidRPr="0007097A">
        <w:rPr>
          <w:sz w:val="22"/>
          <w:szCs w:val="22"/>
          <w:lang w:val="es-ES_tradnl"/>
        </w:rPr>
        <w:t xml:space="preserve"> lineal visible en el campo y en las fotografías aéreas. El calcáreo en concreciones, aparece a los 60 cm de profundidad.</w:t>
      </w:r>
    </w:p>
    <w:p w:rsidR="001F7C3F" w:rsidRPr="0007097A" w:rsidRDefault="001F7C3F" w:rsidP="0007097A">
      <w:pPr>
        <w:tabs>
          <w:tab w:val="right" w:pos="9071"/>
        </w:tabs>
        <w:jc w:val="both"/>
        <w:rPr>
          <w:bCs/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Cs/>
          <w:sz w:val="22"/>
          <w:szCs w:val="22"/>
          <w:u w:val="single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Perfil</w:t>
      </w:r>
      <w:r w:rsidRPr="0007097A">
        <w:rPr>
          <w:sz w:val="22"/>
          <w:szCs w:val="22"/>
          <w:u w:val="single"/>
          <w:lang w:val="es-ES_tradnl"/>
        </w:rPr>
        <w:t xml:space="preserve"> tipo:</w:t>
      </w:r>
      <w:r w:rsidRPr="0007097A">
        <w:rPr>
          <w:sz w:val="22"/>
          <w:szCs w:val="22"/>
          <w:lang w:val="es-ES_tradnl"/>
        </w:rPr>
        <w:t xml:space="preserve"> ER1-114C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Fecha:</w:t>
      </w:r>
      <w:r w:rsidRPr="0007097A">
        <w:rPr>
          <w:sz w:val="22"/>
          <w:szCs w:val="22"/>
          <w:lang w:val="es-ES_tradnl"/>
        </w:rPr>
        <w:t xml:space="preserve"> 11-VIII-1999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Ubicación:</w:t>
      </w:r>
      <w:r w:rsidRPr="0007097A">
        <w:rPr>
          <w:sz w:val="22"/>
          <w:szCs w:val="22"/>
          <w:lang w:val="es-ES_tradnl"/>
        </w:rPr>
        <w:t xml:space="preserve"> </w:t>
      </w:r>
      <w:proofErr w:type="spellStart"/>
      <w:r w:rsidRPr="0007097A">
        <w:rPr>
          <w:sz w:val="22"/>
          <w:szCs w:val="22"/>
          <w:lang w:val="es-ES_tradnl"/>
        </w:rPr>
        <w:t>Ea</w:t>
      </w:r>
      <w:proofErr w:type="spellEnd"/>
      <w:r w:rsidRPr="0007097A">
        <w:rPr>
          <w:sz w:val="22"/>
          <w:szCs w:val="22"/>
          <w:lang w:val="es-ES_tradnl"/>
        </w:rPr>
        <w:t xml:space="preserve">. </w:t>
      </w:r>
      <w:proofErr w:type="gramStart"/>
      <w:r w:rsidRPr="0007097A">
        <w:rPr>
          <w:sz w:val="22"/>
          <w:szCs w:val="22"/>
          <w:lang w:val="es-ES_tradnl"/>
        </w:rPr>
        <w:t>de</w:t>
      </w:r>
      <w:proofErr w:type="gramEnd"/>
      <w:r w:rsidRPr="0007097A">
        <w:rPr>
          <w:sz w:val="22"/>
          <w:szCs w:val="22"/>
          <w:lang w:val="es-ES_tradnl"/>
        </w:rPr>
        <w:t xml:space="preserve"> L. </w:t>
      </w:r>
      <w:proofErr w:type="spellStart"/>
      <w:r w:rsidRPr="0007097A">
        <w:rPr>
          <w:sz w:val="22"/>
          <w:szCs w:val="22"/>
          <w:lang w:val="es-ES_tradnl"/>
        </w:rPr>
        <w:t>Lapuyade</w:t>
      </w:r>
      <w:proofErr w:type="spellEnd"/>
      <w:r w:rsidRPr="0007097A">
        <w:rPr>
          <w:sz w:val="22"/>
          <w:szCs w:val="22"/>
          <w:lang w:val="es-ES_tradnl"/>
        </w:rPr>
        <w:t xml:space="preserve"> (foto IR 446-38) - dto. Raíces Oeste - Dpto. </w:t>
      </w:r>
      <w:proofErr w:type="spellStart"/>
      <w:r w:rsidRPr="0007097A">
        <w:rPr>
          <w:sz w:val="22"/>
          <w:szCs w:val="22"/>
          <w:lang w:val="es-ES_tradnl"/>
        </w:rPr>
        <w:t>Villaguay</w:t>
      </w:r>
      <w:proofErr w:type="spellEnd"/>
      <w:r w:rsidRPr="0007097A">
        <w:rPr>
          <w:sz w:val="22"/>
          <w:szCs w:val="22"/>
          <w:lang w:val="es-ES_tradnl"/>
        </w:rPr>
        <w:t>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Reconocedores:</w:t>
      </w:r>
      <w:r w:rsidRPr="0007097A">
        <w:rPr>
          <w:sz w:val="22"/>
          <w:szCs w:val="22"/>
          <w:lang w:val="es-ES_tradnl"/>
        </w:rPr>
        <w:t xml:space="preserve"> O.A. </w:t>
      </w:r>
      <w:proofErr w:type="spellStart"/>
      <w:r w:rsidRPr="0007097A">
        <w:rPr>
          <w:sz w:val="22"/>
          <w:szCs w:val="22"/>
          <w:lang w:val="es-ES_tradnl"/>
        </w:rPr>
        <w:t>Foti</w:t>
      </w:r>
      <w:proofErr w:type="spellEnd"/>
      <w:r w:rsidRPr="0007097A">
        <w:rPr>
          <w:sz w:val="22"/>
          <w:szCs w:val="22"/>
          <w:lang w:val="es-ES_tradnl"/>
        </w:rPr>
        <w:t>; R.H. Fuentes.</w:t>
      </w:r>
    </w:p>
    <w:p w:rsidR="001F7C3F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07097A" w:rsidRPr="0007097A" w:rsidRDefault="0007097A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A1</w:t>
      </w:r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 xml:space="preserve">00-15 cm; pardo muy oscuro (10YR 2/2) en húmedo; franco-arcillo-limoso; estructura granular y bloques </w:t>
      </w:r>
      <w:proofErr w:type="spellStart"/>
      <w:r w:rsidRPr="0007097A">
        <w:rPr>
          <w:sz w:val="22"/>
          <w:szCs w:val="22"/>
          <w:lang w:val="es-ES_tradnl"/>
        </w:rPr>
        <w:t>subangulares</w:t>
      </w:r>
      <w:proofErr w:type="spellEnd"/>
      <w:r w:rsidRPr="0007097A">
        <w:rPr>
          <w:sz w:val="22"/>
          <w:szCs w:val="22"/>
          <w:lang w:val="es-ES_tradnl"/>
        </w:rPr>
        <w:t>, medios, moderados; ligeramente duro en seco, friable en húmedo; barnices ("</w:t>
      </w:r>
      <w:proofErr w:type="spellStart"/>
      <w:r w:rsidRPr="0007097A">
        <w:rPr>
          <w:sz w:val="22"/>
          <w:szCs w:val="22"/>
          <w:lang w:val="es-ES_tradnl"/>
        </w:rPr>
        <w:t>humic</w:t>
      </w:r>
      <w:proofErr w:type="spellEnd"/>
      <w:r w:rsidRPr="0007097A">
        <w:rPr>
          <w:sz w:val="22"/>
          <w:szCs w:val="22"/>
          <w:lang w:val="es-ES_tradnl"/>
        </w:rPr>
        <w:t xml:space="preserve"> </w:t>
      </w:r>
      <w:proofErr w:type="spellStart"/>
      <w:r w:rsidRPr="0007097A">
        <w:rPr>
          <w:sz w:val="22"/>
          <w:szCs w:val="22"/>
          <w:lang w:val="es-ES_tradnl"/>
        </w:rPr>
        <w:t>skins</w:t>
      </w:r>
      <w:proofErr w:type="spellEnd"/>
      <w:r w:rsidRPr="0007097A">
        <w:rPr>
          <w:sz w:val="22"/>
          <w:szCs w:val="22"/>
          <w:lang w:val="es-ES_tradnl"/>
        </w:rPr>
        <w:t>") abundantes; moteados de hierro-manganeso, escasos, finos y precisos; límite claro, suave.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B1</w:t>
      </w:r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 xml:space="preserve">15-30 cm; negro (10YR 2/1) en húmedo; franco-arcillo-limoso; estructura en prismas compuestos irregulares medios, débiles, que rompen en bloques </w:t>
      </w:r>
      <w:proofErr w:type="spellStart"/>
      <w:r w:rsidRPr="0007097A">
        <w:rPr>
          <w:sz w:val="22"/>
          <w:szCs w:val="22"/>
          <w:lang w:val="es-ES_tradnl"/>
        </w:rPr>
        <w:t>subangulares</w:t>
      </w:r>
      <w:proofErr w:type="spellEnd"/>
      <w:r w:rsidRPr="0007097A">
        <w:rPr>
          <w:sz w:val="22"/>
          <w:szCs w:val="22"/>
          <w:lang w:val="es-ES_tradnl"/>
        </w:rPr>
        <w:t xml:space="preserve"> y angulares irregulares, medios, moderados; ligeramente duro en seco, friable en húmedo; barnices ("</w:t>
      </w:r>
      <w:proofErr w:type="spellStart"/>
      <w:r w:rsidRPr="0007097A">
        <w:rPr>
          <w:sz w:val="22"/>
          <w:szCs w:val="22"/>
          <w:lang w:val="es-ES_tradnl"/>
        </w:rPr>
        <w:t>humic</w:t>
      </w:r>
      <w:proofErr w:type="spellEnd"/>
      <w:r w:rsidRPr="0007097A">
        <w:rPr>
          <w:sz w:val="22"/>
          <w:szCs w:val="22"/>
          <w:lang w:val="es-ES_tradnl"/>
        </w:rPr>
        <w:t xml:space="preserve"> </w:t>
      </w:r>
      <w:proofErr w:type="spellStart"/>
      <w:r w:rsidRPr="0007097A">
        <w:rPr>
          <w:sz w:val="22"/>
          <w:szCs w:val="22"/>
          <w:lang w:val="es-ES_tradnl"/>
        </w:rPr>
        <w:t>skins</w:t>
      </w:r>
      <w:proofErr w:type="spellEnd"/>
      <w:r w:rsidRPr="0007097A">
        <w:rPr>
          <w:sz w:val="22"/>
          <w:szCs w:val="22"/>
          <w:lang w:val="es-ES_tradnl"/>
        </w:rPr>
        <w:t>") abundantes; moteados de hierro-manganeso, escasos, finos y débiles; límite claro, suave.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B21t:</w:t>
      </w:r>
      <w:r w:rsidR="0007097A">
        <w:rPr>
          <w:b/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>30-60 cm; negro (10YR 2/1) en húmedo; arcillo-limoso; estructura en prismas compuestos irregulares, medios, moderados, que rompen en bloques angulares irregulares y cuneiformes, medios, moderados; duro en seco, firme en húmedo; caras de fricción ("</w:t>
      </w:r>
      <w:proofErr w:type="spellStart"/>
      <w:r w:rsidRPr="0007097A">
        <w:rPr>
          <w:sz w:val="22"/>
          <w:szCs w:val="22"/>
          <w:lang w:val="es-ES_tradnl"/>
        </w:rPr>
        <w:t>slickensides</w:t>
      </w:r>
      <w:proofErr w:type="spellEnd"/>
      <w:r w:rsidRPr="0007097A">
        <w:rPr>
          <w:sz w:val="22"/>
          <w:szCs w:val="22"/>
          <w:lang w:val="es-ES_tradnl"/>
        </w:rPr>
        <w:t>") abundantes, finas; moteados de hierro-manganeso escasos, finos y débiles; límite claro, ondulado.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B22t</w:t>
      </w:r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>60-80 cm; pardo muy oscuro (10YR 2/2) en húmedo; arcillo-limoso; estructura en prismas compuestos irregulares, medios, moderados, que rompen en bloques cuneiformes, medios, fuertes; duro en seco, firme en húmedo; caras de fricción ("</w:t>
      </w:r>
      <w:proofErr w:type="spellStart"/>
      <w:r w:rsidRPr="0007097A">
        <w:rPr>
          <w:sz w:val="22"/>
          <w:szCs w:val="22"/>
          <w:lang w:val="es-ES_tradnl"/>
        </w:rPr>
        <w:t>slickensides</w:t>
      </w:r>
      <w:proofErr w:type="spellEnd"/>
      <w:r w:rsidRPr="0007097A">
        <w:rPr>
          <w:sz w:val="22"/>
          <w:szCs w:val="22"/>
          <w:lang w:val="es-ES_tradnl"/>
        </w:rPr>
        <w:t>") abundantes, gruesas; concreciones calcáreas escasas; moteados de hierro-manganeso escasos, finos, débiles; límite gradual, ondulado.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B31ca</w:t>
      </w:r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>80-110 cm; pardo grisáceo oscuro (10YR 4/2) en húmedo; arcillo-limoso; estructura en prismas compuestos irregulares, gruesos, débiles, que rompen en bloques angulares irregulares y cuneiformes, gruesos, moderados; duro en seco, firme en húmedo; caras de fricción ("</w:t>
      </w:r>
      <w:proofErr w:type="spellStart"/>
      <w:r w:rsidRPr="0007097A">
        <w:rPr>
          <w:sz w:val="22"/>
          <w:szCs w:val="22"/>
          <w:lang w:val="es-ES_tradnl"/>
        </w:rPr>
        <w:t>slickensides</w:t>
      </w:r>
      <w:proofErr w:type="spellEnd"/>
      <w:r w:rsidRPr="0007097A">
        <w:rPr>
          <w:sz w:val="22"/>
          <w:szCs w:val="22"/>
          <w:lang w:val="es-ES_tradnl"/>
        </w:rPr>
        <w:t>") comunes, gruesas; abundantes carbonatos libres en la masa; concreciones calcáreas, comunes, finas y gruesas; moteados de hierro-manganeso comunes, medios, sobresalientes; límite gradual, ondulado.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b/>
          <w:sz w:val="22"/>
          <w:szCs w:val="22"/>
          <w:lang w:val="es-ES_tradnl"/>
        </w:rPr>
        <w:t>B32ca</w:t>
      </w:r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>110-130 cm; pardo a pardo oscuro (7,5YR 4/2) en húmedo; arcillo-limoso; estructura en bloques angulares irregulares y cuneiformes, medios, moderados; ligeramente duro en seco, firme en húmedo; caras de fricción ("</w:t>
      </w:r>
      <w:proofErr w:type="spellStart"/>
      <w:r w:rsidRPr="0007097A">
        <w:rPr>
          <w:sz w:val="22"/>
          <w:szCs w:val="22"/>
          <w:lang w:val="es-ES_tradnl"/>
        </w:rPr>
        <w:t>slickensides</w:t>
      </w:r>
      <w:proofErr w:type="spellEnd"/>
      <w:r w:rsidRPr="0007097A">
        <w:rPr>
          <w:sz w:val="22"/>
          <w:szCs w:val="22"/>
          <w:lang w:val="es-ES_tradnl"/>
        </w:rPr>
        <w:t>") comunes, gruesas; carbonatos libres en la masa comunes a abundantes; concreciones calcáre</w:t>
      </w:r>
      <w:r w:rsidR="0007097A">
        <w:rPr>
          <w:sz w:val="22"/>
          <w:szCs w:val="22"/>
          <w:lang w:val="es-ES_tradnl"/>
        </w:rPr>
        <w:t>a</w:t>
      </w:r>
      <w:r w:rsidRPr="0007097A">
        <w:rPr>
          <w:sz w:val="22"/>
          <w:szCs w:val="22"/>
          <w:lang w:val="es-ES_tradnl"/>
        </w:rPr>
        <w:t>s abundantes, finas; moteados de hierro-manganeso comunes, medios y sobresalientes; límite difuso, ondulado.</w:t>
      </w:r>
    </w:p>
    <w:p w:rsidR="001F7C3F" w:rsidRPr="0007097A" w:rsidRDefault="001F7C3F" w:rsidP="0007097A">
      <w:pPr>
        <w:tabs>
          <w:tab w:val="left" w:pos="-1440"/>
          <w:tab w:val="left" w:pos="1418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proofErr w:type="spellStart"/>
      <w:r w:rsidRPr="0007097A">
        <w:rPr>
          <w:b/>
          <w:sz w:val="22"/>
          <w:szCs w:val="22"/>
          <w:lang w:val="es-ES_tradnl"/>
        </w:rPr>
        <w:lastRenderedPageBreak/>
        <w:t>Cca</w:t>
      </w:r>
      <w:proofErr w:type="spellEnd"/>
      <w:r w:rsidRPr="0007097A">
        <w:rPr>
          <w:sz w:val="22"/>
          <w:szCs w:val="22"/>
          <w:lang w:val="es-ES_tradnl"/>
        </w:rPr>
        <w:t>:</w:t>
      </w:r>
      <w:r w:rsidR="0007097A">
        <w:rPr>
          <w:sz w:val="22"/>
          <w:szCs w:val="22"/>
          <w:lang w:val="es-ES_tradnl"/>
        </w:rPr>
        <w:t xml:space="preserve"> </w:t>
      </w:r>
      <w:r w:rsidRPr="0007097A">
        <w:rPr>
          <w:sz w:val="22"/>
          <w:szCs w:val="22"/>
          <w:lang w:val="es-ES_tradnl"/>
        </w:rPr>
        <w:t>130 cm +; pardo  (7,5YR 5/4) en húmedo; arcillo-limoso; estructura en bloques angulares, irregulares y cuneiformes gruesos, moderados; ligeramente duro en seco, friable en húmedo; caras de fricción ("</w:t>
      </w:r>
      <w:proofErr w:type="spellStart"/>
      <w:r w:rsidRPr="0007097A">
        <w:rPr>
          <w:sz w:val="22"/>
          <w:szCs w:val="22"/>
          <w:lang w:val="es-ES_tradnl"/>
        </w:rPr>
        <w:t>slickensides</w:t>
      </w:r>
      <w:proofErr w:type="spellEnd"/>
      <w:r w:rsidRPr="0007097A">
        <w:rPr>
          <w:sz w:val="22"/>
          <w:szCs w:val="22"/>
          <w:lang w:val="es-ES_tradnl"/>
        </w:rPr>
        <w:t xml:space="preserve">") escasas, gruesas; comunes carbonatos libres en la masa; concreciones calcáreas abundantes, finas y medias; concreciones </w:t>
      </w:r>
      <w:proofErr w:type="spellStart"/>
      <w:r w:rsidRPr="0007097A">
        <w:rPr>
          <w:sz w:val="22"/>
          <w:szCs w:val="22"/>
          <w:lang w:val="es-ES_tradnl"/>
        </w:rPr>
        <w:t>ferromanganesíferas</w:t>
      </w:r>
      <w:proofErr w:type="spellEnd"/>
      <w:r w:rsidRPr="0007097A">
        <w:rPr>
          <w:sz w:val="22"/>
          <w:szCs w:val="22"/>
          <w:lang w:val="es-ES_tradnl"/>
        </w:rPr>
        <w:t xml:space="preserve"> escasas, finas; moteados de hierro-manganeso comunes, medios y sobresalientes, materiales de horizontes superiores rellenando grietas.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Variabilidad de rasgos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La variabilidad está determinada por el material arcilloso que da lugar a la formación del </w:t>
      </w:r>
      <w:proofErr w:type="spellStart"/>
      <w:r w:rsidRPr="0007097A">
        <w:rPr>
          <w:sz w:val="22"/>
          <w:szCs w:val="22"/>
          <w:lang w:val="es-ES_tradnl"/>
        </w:rPr>
        <w:t>microrelieve</w:t>
      </w:r>
      <w:proofErr w:type="spellEnd"/>
      <w:r w:rsidRPr="0007097A">
        <w:rPr>
          <w:sz w:val="22"/>
          <w:szCs w:val="22"/>
          <w:lang w:val="es-ES_tradnl"/>
        </w:rPr>
        <w:t xml:space="preserve"> </w:t>
      </w:r>
      <w:proofErr w:type="spellStart"/>
      <w:r w:rsidRPr="0007097A">
        <w:rPr>
          <w:sz w:val="22"/>
          <w:szCs w:val="22"/>
          <w:lang w:val="es-ES_tradnl"/>
        </w:rPr>
        <w:t>gilgai</w:t>
      </w:r>
      <w:proofErr w:type="spellEnd"/>
      <w:r w:rsidRPr="0007097A">
        <w:rPr>
          <w:sz w:val="22"/>
          <w:szCs w:val="22"/>
          <w:lang w:val="es-ES_tradnl"/>
        </w:rPr>
        <w:t xml:space="preserve"> y en menor grado a la erosión.</w:t>
      </w:r>
    </w:p>
    <w:p w:rsidR="001F7C3F" w:rsidRPr="0007097A" w:rsidRDefault="001F7C3F" w:rsidP="0007097A">
      <w:pPr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El </w:t>
      </w:r>
      <w:proofErr w:type="spellStart"/>
      <w:r w:rsidRPr="0007097A">
        <w:rPr>
          <w:sz w:val="22"/>
          <w:szCs w:val="22"/>
          <w:lang w:val="es-ES_tradnl"/>
        </w:rPr>
        <w:t>solum</w:t>
      </w:r>
      <w:proofErr w:type="spellEnd"/>
      <w:r w:rsidRPr="0007097A">
        <w:rPr>
          <w:sz w:val="22"/>
          <w:szCs w:val="22"/>
          <w:lang w:val="es-ES_tradnl"/>
        </w:rPr>
        <w:t xml:space="preserve"> varía de 120-140 cm de profundidad. En el bajo del </w:t>
      </w:r>
      <w:proofErr w:type="spellStart"/>
      <w:r w:rsidRPr="0007097A">
        <w:rPr>
          <w:sz w:val="22"/>
          <w:szCs w:val="22"/>
          <w:lang w:val="es-ES_tradnl"/>
        </w:rPr>
        <w:t>gilgai</w:t>
      </w:r>
      <w:proofErr w:type="spellEnd"/>
      <w:r w:rsidRPr="0007097A">
        <w:rPr>
          <w:sz w:val="22"/>
          <w:szCs w:val="22"/>
          <w:lang w:val="es-ES_tradnl"/>
        </w:rPr>
        <w:t xml:space="preserve"> el </w:t>
      </w:r>
      <w:proofErr w:type="spellStart"/>
      <w:r w:rsidRPr="0007097A">
        <w:rPr>
          <w:sz w:val="22"/>
          <w:szCs w:val="22"/>
          <w:lang w:val="es-ES_tradnl"/>
        </w:rPr>
        <w:t>epipedón</w:t>
      </w:r>
      <w:proofErr w:type="spellEnd"/>
      <w:r w:rsidRPr="0007097A">
        <w:rPr>
          <w:sz w:val="22"/>
          <w:szCs w:val="22"/>
          <w:lang w:val="es-ES_tradnl"/>
        </w:rPr>
        <w:t xml:space="preserve"> varía de 20 a 30 </w:t>
      </w:r>
      <w:proofErr w:type="spellStart"/>
      <w:r w:rsidRPr="0007097A">
        <w:rPr>
          <w:sz w:val="22"/>
          <w:szCs w:val="22"/>
          <w:lang w:val="es-ES_tradnl"/>
        </w:rPr>
        <w:t>cm</w:t>
      </w:r>
      <w:proofErr w:type="gramStart"/>
      <w:r w:rsidRPr="0007097A">
        <w:rPr>
          <w:sz w:val="22"/>
          <w:szCs w:val="22"/>
          <w:lang w:val="es-ES_tradnl"/>
        </w:rPr>
        <w:t>,es</w:t>
      </w:r>
      <w:proofErr w:type="spellEnd"/>
      <w:proofErr w:type="gramEnd"/>
      <w:r w:rsidRPr="0007097A">
        <w:rPr>
          <w:sz w:val="22"/>
          <w:szCs w:val="22"/>
          <w:lang w:val="es-ES_tradnl"/>
        </w:rPr>
        <w:t xml:space="preserve"> </w:t>
      </w:r>
      <w:proofErr w:type="spellStart"/>
      <w:r w:rsidRPr="0007097A">
        <w:rPr>
          <w:sz w:val="22"/>
          <w:szCs w:val="22"/>
          <w:lang w:val="es-ES_tradnl"/>
        </w:rPr>
        <w:t>mólico</w:t>
      </w:r>
      <w:proofErr w:type="spellEnd"/>
      <w:r w:rsidRPr="0007097A">
        <w:rPr>
          <w:sz w:val="22"/>
          <w:szCs w:val="22"/>
          <w:lang w:val="es-ES_tradnl"/>
        </w:rPr>
        <w:t xml:space="preserve">, de estructura débil y constituido por un horizonte A1 o </w:t>
      </w:r>
      <w:proofErr w:type="spellStart"/>
      <w:r w:rsidRPr="0007097A">
        <w:rPr>
          <w:sz w:val="22"/>
          <w:szCs w:val="22"/>
          <w:lang w:val="es-ES_tradnl"/>
        </w:rPr>
        <w:t>Ap</w:t>
      </w:r>
      <w:proofErr w:type="spellEnd"/>
      <w:r w:rsidRPr="0007097A">
        <w:rPr>
          <w:sz w:val="22"/>
          <w:szCs w:val="22"/>
          <w:lang w:val="es-ES_tradnl"/>
        </w:rPr>
        <w:t xml:space="preserve"> y B1.</w:t>
      </w:r>
    </w:p>
    <w:p w:rsidR="001F7C3F" w:rsidRPr="0007097A" w:rsidRDefault="001F7C3F" w:rsidP="0007097A">
      <w:pPr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El B2, </w:t>
      </w:r>
      <w:proofErr w:type="spellStart"/>
      <w:r w:rsidRPr="0007097A">
        <w:rPr>
          <w:sz w:val="22"/>
          <w:szCs w:val="22"/>
          <w:lang w:val="es-ES_tradnl"/>
        </w:rPr>
        <w:t>argílico</w:t>
      </w:r>
      <w:proofErr w:type="spellEnd"/>
      <w:r w:rsidRPr="0007097A">
        <w:rPr>
          <w:sz w:val="22"/>
          <w:szCs w:val="22"/>
          <w:lang w:val="es-ES_tradnl"/>
        </w:rPr>
        <w:t>, con estructura prismática, presenta abundantes caras de fricción.</w:t>
      </w:r>
    </w:p>
    <w:p w:rsidR="001F7C3F" w:rsidRPr="0007097A" w:rsidRDefault="001F7C3F" w:rsidP="0007097A">
      <w:pPr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El calcáreo en concreciones finas aparece a partir </w:t>
      </w:r>
      <w:proofErr w:type="gramStart"/>
      <w:r w:rsidRPr="0007097A">
        <w:rPr>
          <w:sz w:val="22"/>
          <w:szCs w:val="22"/>
          <w:lang w:val="es-ES_tradnl"/>
        </w:rPr>
        <w:t>de los 60 cm de profundidad, aumentado</w:t>
      </w:r>
      <w:proofErr w:type="gramEnd"/>
      <w:r w:rsidRPr="0007097A">
        <w:rPr>
          <w:sz w:val="22"/>
          <w:szCs w:val="22"/>
          <w:lang w:val="es-ES_tradnl"/>
        </w:rPr>
        <w:t xml:space="preserve"> considerablemente en los horizontes subyacentes. </w:t>
      </w:r>
    </w:p>
    <w:p w:rsidR="001F7C3F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07097A" w:rsidRPr="0007097A" w:rsidRDefault="0007097A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Fases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7C3F" w:rsidRPr="0007097A" w:rsidRDefault="001F7C3F" w:rsidP="0007097A">
      <w:pPr>
        <w:ind w:firstLine="720"/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07097A">
        <w:rPr>
          <w:sz w:val="22"/>
          <w:szCs w:val="22"/>
          <w:lang w:val="es-ES_tradnl"/>
        </w:rPr>
        <w:t>Nogoyá</w:t>
      </w:r>
      <w:proofErr w:type="spellEnd"/>
      <w:r w:rsidRPr="0007097A">
        <w:rPr>
          <w:sz w:val="22"/>
          <w:szCs w:val="22"/>
          <w:lang w:val="es-ES_tradnl"/>
        </w:rPr>
        <w:t>.</w:t>
      </w:r>
    </w:p>
    <w:p w:rsidR="001F7C3F" w:rsidRDefault="001F7C3F" w:rsidP="0007097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07097A" w:rsidRPr="0007097A" w:rsidRDefault="0007097A" w:rsidP="0007097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Drenaje</w:t>
      </w:r>
    </w:p>
    <w:p w:rsidR="001F7C3F" w:rsidRPr="0007097A" w:rsidRDefault="001F7C3F" w:rsidP="0007097A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1F7C3F" w:rsidRDefault="001F7C3F" w:rsidP="0007097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07097A" w:rsidRPr="0007097A" w:rsidRDefault="0007097A" w:rsidP="0007097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Erosión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pStyle w:val="Textoindependiente2"/>
        <w:ind w:firstLine="0"/>
        <w:rPr>
          <w:sz w:val="22"/>
          <w:szCs w:val="22"/>
        </w:rPr>
      </w:pPr>
      <w:r w:rsidRPr="0007097A">
        <w:rPr>
          <w:sz w:val="22"/>
          <w:szCs w:val="22"/>
        </w:rPr>
        <w:t>La serie Raíces Oeste está ligeramente erosionada y tiene un moderado peligro de erosión en surcos y cárcavas, fundamentalmente en áreas bajo uso agrícola intensivo.</w:t>
      </w:r>
    </w:p>
    <w:p w:rsidR="001F7C3F" w:rsidRPr="0007097A" w:rsidRDefault="001F7C3F" w:rsidP="0007097A">
      <w:pPr>
        <w:pStyle w:val="Textoindependiente2"/>
        <w:rPr>
          <w:sz w:val="22"/>
          <w:szCs w:val="22"/>
        </w:rPr>
      </w:pPr>
      <w:r w:rsidRPr="0007097A">
        <w:rPr>
          <w:sz w:val="22"/>
          <w:szCs w:val="22"/>
        </w:rPr>
        <w:br w:type="page"/>
      </w:r>
    </w:p>
    <w:p w:rsidR="001F7C3F" w:rsidRPr="0007097A" w:rsidRDefault="001F7C3F" w:rsidP="0007097A">
      <w:pPr>
        <w:tabs>
          <w:tab w:val="left" w:pos="-1440"/>
        </w:tabs>
        <w:rPr>
          <w:b/>
          <w:sz w:val="22"/>
          <w:szCs w:val="22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07097A">
        <w:rPr>
          <w:b/>
          <w:sz w:val="22"/>
          <w:szCs w:val="22"/>
          <w:u w:val="single"/>
          <w:lang w:val="es-ES_tradnl"/>
        </w:rPr>
        <w:t>Serie Raíces Oeste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>ER1</w:t>
      </w:r>
      <w:r w:rsidRPr="0007097A">
        <w:rPr>
          <w:sz w:val="22"/>
          <w:szCs w:val="22"/>
          <w:lang w:val="es-ES_tradnl"/>
        </w:rPr>
        <w:noBreakHyphen/>
        <w:t>114C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2"/>
        <w:gridCol w:w="992"/>
        <w:gridCol w:w="993"/>
      </w:tblGrid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4.732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4.734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4.736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4.737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4.738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07097A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07097A">
              <w:rPr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07097A">
              <w:rPr>
                <w:sz w:val="22"/>
                <w:szCs w:val="22"/>
                <w:lang w:val="fr-FR"/>
              </w:rPr>
              <w:t>B31ca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07097A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05-12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20-26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35-55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65-75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111-125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137-150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0.37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0.01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56</w:t>
            </w:r>
          </w:p>
        </w:tc>
      </w:tr>
    </w:tbl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  <w:gridCol w:w="993"/>
      </w:tblGrid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32.01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31.33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48.05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50.24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45.06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44.51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44.32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2-20</w:t>
            </w:r>
            <w:r w:rsidR="0007097A">
              <w:rPr>
                <w:sz w:val="22"/>
                <w:szCs w:val="22"/>
                <w:lang w:val="es-ES_tradnl"/>
              </w:rPr>
              <w:t xml:space="preserve"> </w:t>
            </w:r>
            <w:r w:rsidRPr="0007097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37.14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37.81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30.89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30.01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32.14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31.20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30.01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2-50</w:t>
            </w:r>
            <w:r w:rsidR="0007097A">
              <w:rPr>
                <w:sz w:val="22"/>
                <w:szCs w:val="22"/>
                <w:lang w:val="es-ES_tradnl"/>
              </w:rPr>
              <w:t xml:space="preserve"> </w:t>
            </w:r>
            <w:r w:rsidRPr="0007097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66.76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67.82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51.36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48.90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54.12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55.08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55.02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50-100</w:t>
            </w:r>
            <w:r w:rsidR="0007097A">
              <w:rPr>
                <w:sz w:val="22"/>
                <w:szCs w:val="22"/>
                <w:lang w:val="es-ES_tradnl"/>
              </w:rPr>
              <w:t xml:space="preserve"> </w:t>
            </w:r>
            <w:r w:rsidRPr="0007097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0.48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0.18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100-500</w:t>
            </w:r>
            <w:r w:rsidR="0007097A">
              <w:rPr>
                <w:sz w:val="22"/>
                <w:szCs w:val="22"/>
                <w:lang w:val="es-ES_tradnl"/>
              </w:rPr>
              <w:t xml:space="preserve"> </w:t>
            </w:r>
            <w:r w:rsidRPr="0007097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0.74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0.66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0.46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500-1000</w:t>
            </w:r>
            <w:r w:rsidR="0007097A">
              <w:rPr>
                <w:sz w:val="22"/>
                <w:szCs w:val="22"/>
                <w:lang w:val="es-ES_tradnl"/>
              </w:rPr>
              <w:t xml:space="preserve"> </w:t>
            </w:r>
            <w:r w:rsidRPr="0007097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0.020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1000-2000</w:t>
            </w:r>
            <w:r w:rsidR="0007097A">
              <w:rPr>
                <w:sz w:val="22"/>
                <w:szCs w:val="22"/>
                <w:lang w:val="en-US"/>
              </w:rPr>
              <w:t xml:space="preserve"> </w:t>
            </w:r>
            <w:r w:rsidRPr="0007097A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  <w:gridCol w:w="993"/>
      </w:tblGrid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0.41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12.43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12.69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12.74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8.6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7097A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7.2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07097A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07097A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0.366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0.300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0.335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0.654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0.824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1.001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0.770</w:t>
            </w:r>
          </w:p>
        </w:tc>
      </w:tr>
    </w:tbl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7097A">
        <w:rPr>
          <w:sz w:val="22"/>
          <w:szCs w:val="22"/>
          <w:lang w:val="es-ES_tradnl"/>
        </w:rPr>
        <w:t xml:space="preserve">Capacidad de intercambio </w:t>
      </w:r>
    </w:p>
    <w:p w:rsidR="001F7C3F" w:rsidRPr="0007097A" w:rsidRDefault="001F7C3F" w:rsidP="0007097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07097A">
        <w:rPr>
          <w:sz w:val="22"/>
          <w:szCs w:val="22"/>
          <w:lang w:val="es-ES_tradnl"/>
        </w:rPr>
        <w:t>catiónico</w:t>
      </w:r>
      <w:proofErr w:type="gramEnd"/>
      <w:r w:rsidRPr="0007097A">
        <w:rPr>
          <w:sz w:val="22"/>
          <w:szCs w:val="22"/>
          <w:lang w:val="es-ES_tradnl"/>
        </w:rPr>
        <w:t xml:space="preserve"> (</w:t>
      </w:r>
      <w:proofErr w:type="spellStart"/>
      <w:r w:rsidRPr="0007097A">
        <w:rPr>
          <w:sz w:val="22"/>
          <w:szCs w:val="22"/>
          <w:lang w:val="es-ES_tradnl"/>
        </w:rPr>
        <w:t>meq</w:t>
      </w:r>
      <w:proofErr w:type="spellEnd"/>
      <w:r w:rsidRPr="0007097A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  <w:gridCol w:w="993"/>
      </w:tblGrid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30.21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29.66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44.65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51.22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43.46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39.95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39.82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26.02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35.40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39.82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44.65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0.43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0.81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1.86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ND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0.36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1.51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1.44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0.48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07097A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7097A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1.55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3.31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2.33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2.41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07097A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07097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7097A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7097A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1.88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2.93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3.47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4.88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7.62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5.83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6.05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33.23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34.18</w:t>
            </w:r>
          </w:p>
        </w:tc>
        <w:tc>
          <w:tcPr>
            <w:tcW w:w="1134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50.93</w:t>
            </w:r>
          </w:p>
        </w:tc>
        <w:tc>
          <w:tcPr>
            <w:tcW w:w="992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51.76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42.50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42.71</w:t>
            </w:r>
          </w:p>
        </w:tc>
        <w:tc>
          <w:tcPr>
            <w:tcW w:w="993" w:type="dxa"/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42.79</w:t>
            </w:r>
          </w:p>
        </w:tc>
      </w:tr>
      <w:tr w:rsidR="001F7C3F" w:rsidRPr="0007097A" w:rsidTr="003E7720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 xml:space="preserve">Fósforo asimilable </w:t>
            </w:r>
            <w:r w:rsidR="0007097A">
              <w:rPr>
                <w:sz w:val="22"/>
                <w:szCs w:val="22"/>
                <w:lang w:val="es-ES_tradnl"/>
              </w:rPr>
              <w:t>(</w:t>
            </w:r>
            <w:bookmarkStart w:id="0" w:name="_GoBack"/>
            <w:bookmarkEnd w:id="0"/>
            <w:r w:rsidRPr="0007097A">
              <w:rPr>
                <w:sz w:val="22"/>
                <w:szCs w:val="22"/>
                <w:lang w:val="es-ES_tradnl"/>
              </w:rPr>
              <w:t>ppm</w:t>
            </w:r>
            <w:r w:rsidR="0007097A">
              <w:rPr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6.77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4.82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3.55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3.52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2.50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2.50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1F7C3F" w:rsidRPr="0007097A" w:rsidRDefault="001F7C3F" w:rsidP="0007097A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07097A">
              <w:rPr>
                <w:sz w:val="22"/>
                <w:szCs w:val="22"/>
                <w:lang w:val="es-ES_tradnl"/>
              </w:rPr>
              <w:t>2.41</w:t>
            </w:r>
          </w:p>
        </w:tc>
      </w:tr>
    </w:tbl>
    <w:p w:rsidR="008806AA" w:rsidRPr="0007097A" w:rsidRDefault="008806AA" w:rsidP="0007097A">
      <w:pPr>
        <w:rPr>
          <w:sz w:val="22"/>
          <w:szCs w:val="22"/>
        </w:rPr>
      </w:pPr>
    </w:p>
    <w:sectPr w:rsidR="008806AA" w:rsidRPr="0007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F"/>
    <w:rsid w:val="0007097A"/>
    <w:rsid w:val="001F7C3F"/>
    <w:rsid w:val="008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F7C3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7C3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1F7C3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1F7C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1F7C3F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F7C3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F7C3F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7C3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1F7C3F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1F7C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1F7C3F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F7C3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2014-02-07T13:53:00Z</dcterms:created>
  <dcterms:modified xsi:type="dcterms:W3CDTF">2014-02-07T14:24:00Z</dcterms:modified>
</cp:coreProperties>
</file>