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89304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24194E">
        <w:rPr>
          <w:b/>
          <w:szCs w:val="24"/>
          <w:lang w:val="es-ES_tradnl"/>
        </w:rPr>
        <w:t>SAN ALFONSO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24194E">
        <w:rPr>
          <w:b/>
          <w:szCs w:val="24"/>
          <w:lang w:val="es-ES_tradnl"/>
        </w:rPr>
        <w:t>Afo</w:t>
      </w:r>
      <w:proofErr w:type="spellEnd"/>
    </w:p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(t), térmica" de los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Argiudoles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vérticos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Brunizems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vertisólicos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). Son suelos desarrollados en materiales limos-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, franco-arcillo-limosos. 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Suelos moderadamente bien drenados y ligera a moderadamente erosionados, con un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muy oscuro, franco-arcillo-limoso, y un horizonte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oscuro, franco-arcillo-limoso a arcillo-limoso con caras de fricción ("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"). Puede presentar gley "fósil" en el B3ca.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73670">
        <w:rPr>
          <w:rFonts w:ascii="Times New Roman" w:hAnsi="Times New Roman"/>
          <w:sz w:val="22"/>
          <w:szCs w:val="22"/>
          <w:lang w:val="es-ES_tradnl"/>
        </w:rPr>
        <w:t xml:space="preserve"> ER7-73C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73670">
        <w:rPr>
          <w:rFonts w:ascii="Times New Roman" w:hAnsi="Times New Roman"/>
          <w:sz w:val="22"/>
          <w:szCs w:val="22"/>
          <w:lang w:val="es-ES_tradnl"/>
        </w:rPr>
        <w:t xml:space="preserve"> 7-VI-1989.  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Aldea San Alfonso (foto 437-130) - Dpto. Diamante.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73670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73670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273670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18 cm; gris muy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duro en seco; friable en húmedo; barnices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", abundantes, medios,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", abundantes, finos; moteados de hierro comunes, medios y precisos; límite abrupto, suave.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18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38 cm; pardo muy oscuro (10YR 2/2)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moderados, que rompen en bloques angulares irregulares y agregados cuneiformes, medios, fuertes; extremadamente duro en seco; firme en húmedo; barnices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 escasos y finos y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") escasas, finas, no intersectadas; concreciones de hierro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manganeso escasas y finas; moteados de hierro comunes, finos y precisos; límite gradual, suave.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38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69 cm; pardo grisáceo muy oscuro (10YR 3/2)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limoso; estructura en prismas compuestos irregulares gruesos y medios que rompen en prismas compuestos irregulares, medios, moderados; duro en seco; firme en húmedo; barnices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") escasas, gruesas, no intersectadas; concreciones de hierro</w:t>
      </w:r>
      <w:r w:rsidRPr="00273670">
        <w:rPr>
          <w:rFonts w:ascii="Times New Roman" w:hAnsi="Times New Roman"/>
          <w:sz w:val="22"/>
          <w:szCs w:val="22"/>
          <w:lang w:val="es-ES_tradnl"/>
        </w:rPr>
        <w:noBreakHyphen/>
        <w:t>manganeso escasas y finas; moteados de hierro comunes, finos y precisos; límite gradual, ondulado.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lang w:val="es-ES_tradnl"/>
        </w:rPr>
        <w:t>B3ca: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69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>84 cm; pardo a pardo oscuro (10YR 4/3) en húmedo; 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273670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medios, débiles, que rompen en bloques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", escasos y finos; caras de fricción ("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") escasas, finas, no intersectadas; concreciones de hierro</w:t>
      </w:r>
      <w:r w:rsidRPr="00273670">
        <w:rPr>
          <w:rFonts w:ascii="Times New Roman" w:hAnsi="Times New Roman"/>
          <w:sz w:val="22"/>
          <w:szCs w:val="22"/>
          <w:lang w:val="es-ES_tradnl"/>
        </w:rPr>
        <w:noBreakHyphen/>
        <w:t>manganeso escasas; abundante cantidad de carbonatos libres en la masa; concreciones calcáreas escasas; límite gradual, suave.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73670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273670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73670">
        <w:rPr>
          <w:rFonts w:ascii="Times New Roman" w:hAnsi="Times New Roman"/>
          <w:sz w:val="22"/>
          <w:szCs w:val="22"/>
          <w:lang w:val="es-ES_tradnl"/>
        </w:rPr>
        <w:t>84+ cm; pardo (10YR 4.5/4) en húmedo; franco</w:t>
      </w:r>
      <w:r w:rsidRPr="00273670">
        <w:rPr>
          <w:rFonts w:ascii="Times New Roman" w:hAnsi="Times New Roman"/>
          <w:sz w:val="22"/>
          <w:szCs w:val="22"/>
          <w:lang w:val="es-ES_tradnl"/>
        </w:rPr>
        <w:noBreakHyphen/>
        <w:t>arcillo</w:t>
      </w:r>
      <w:r w:rsidRPr="00273670">
        <w:rPr>
          <w:rFonts w:ascii="Times New Roman" w:hAnsi="Times New Roman"/>
          <w:sz w:val="22"/>
          <w:szCs w:val="22"/>
          <w:lang w:val="es-ES_tradnl"/>
        </w:rPr>
        <w:noBreakHyphen/>
        <w:t>limoso; estructura masiva; friable en húmedo; abundante cantidad de carbonatos libres en la masa; concreciones calcáreas escasas.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varía entre 80-120 cm. El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tiene entre 20-35 cm, y puede presentar un A1, A3 o B1 cuando tiene más de 30 cm. En algunos casos, la secuencia es A1+A3 o A1+B1 cuando el perfil presenta signos de erosión, o sólo un horizonte AB como en el caso del perfil modal (que responde al concepto central de la unidad, con erosión moderada). La variabilidad tan amplia se debe a la ubicación de la serie en un paisaje muy heterogéneo debido a la erosión y donde, en parte, el suelo recibe aportes de material de arrastre desde sectores aledaños más altos y, por otra parte, prevalece la erosión acelerada por la actividad antrópica.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posee aprox. 35-40 % de arcilla, con una estructura granular y de bloques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, donde es común la buena porosidad y la presencia de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("canales" de actividad biológica).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tiene un espesor de aproximadamente 50-55 cm, con un porcentaje de arcilla de entre 45-50; es un horizonte denso, la mayor parte de las veces mejor expresado en su parte superior (B21t), con caras de fricción ("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>") poco interceptadas y presencia de raíces aplastadas entre dichas caras; cuando seco, tiene grietas de hasta 5 cm, que llegan hasta la superficie.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Son suelos desarrollados en materiales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de </w:t>
      </w:r>
      <w:proofErr w:type="gramStart"/>
      <w:r w:rsidRPr="00273670">
        <w:rPr>
          <w:rFonts w:ascii="Times New Roman" w:hAnsi="Times New Roman"/>
          <w:sz w:val="22"/>
          <w:szCs w:val="22"/>
          <w:lang w:val="es-ES_tradnl"/>
        </w:rPr>
        <w:t>textura franco-arcillo-limosa, probablemente formados</w:t>
      </w:r>
      <w:proofErr w:type="gram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a partir de loess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coluvial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y remezclado con materiales limo-calcáreos subyacentes.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>No posee fases a la escala de reconocimiento (1:100</w:t>
      </w:r>
      <w:r>
        <w:rPr>
          <w:rFonts w:ascii="Times New Roman" w:hAnsi="Times New Roman"/>
          <w:sz w:val="22"/>
          <w:szCs w:val="22"/>
          <w:lang w:val="es-ES_tradnl"/>
        </w:rPr>
        <w:t>.</w:t>
      </w:r>
      <w:r w:rsidRPr="00273670">
        <w:rPr>
          <w:rFonts w:ascii="Times New Roman" w:hAnsi="Times New Roman"/>
          <w:sz w:val="22"/>
          <w:szCs w:val="22"/>
          <w:lang w:val="es-ES_tradnl"/>
        </w:rPr>
        <w:t>000).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 xml:space="preserve">Se parece a la Serie Crespo, pero ésta  tiene un B2t mejor expresado (principalmente en el B22t) con aprox. 55-60 %, un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más somero, y una posición en el paisaje muy distinta (lomas altas de la </w:t>
      </w:r>
      <w:proofErr w:type="spellStart"/>
      <w:r w:rsidRPr="00273670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273670">
        <w:rPr>
          <w:rFonts w:ascii="Times New Roman" w:hAnsi="Times New Roman"/>
          <w:sz w:val="22"/>
          <w:szCs w:val="22"/>
          <w:lang w:val="es-ES_tradnl"/>
        </w:rPr>
        <w:t xml:space="preserve"> ondulada).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73670">
        <w:rPr>
          <w:rFonts w:ascii="Times New Roman" w:hAnsi="Times New Roman"/>
          <w:sz w:val="22"/>
          <w:szCs w:val="22"/>
          <w:lang w:val="es-ES_tradnl"/>
        </w:rPr>
        <w:t>Moderadamente bien drenado; escurrimiento superficial medio a rápido. Permeabilidad moderadamente lenta a lenta. Napa freática profunda. Grupo hidrológico C.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273670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73670" w:rsidRPr="00273670" w:rsidRDefault="00273670" w:rsidP="0027367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73670" w:rsidRPr="00273670" w:rsidRDefault="00273670" w:rsidP="00273670">
      <w:pPr>
        <w:pStyle w:val="Ttulo1"/>
        <w:jc w:val="both"/>
        <w:rPr>
          <w:rFonts w:ascii="Times New Roman" w:hAnsi="Times New Roman" w:cs="Times New Roman"/>
          <w:sz w:val="22"/>
          <w:szCs w:val="22"/>
          <w:u w:val="none"/>
        </w:rPr>
      </w:pPr>
      <w:r w:rsidRPr="00273670">
        <w:rPr>
          <w:rFonts w:ascii="Times New Roman" w:hAnsi="Times New Roman" w:cs="Times New Roman"/>
          <w:sz w:val="22"/>
          <w:szCs w:val="22"/>
          <w:u w:val="none"/>
        </w:rPr>
        <w:t xml:space="preserve">La Serie San Alfonso está moderadamente erosionada, aunque un pequeño sector puede mostrar perfiles con un </w:t>
      </w:r>
      <w:proofErr w:type="spellStart"/>
      <w:r w:rsidRPr="00273670">
        <w:rPr>
          <w:rFonts w:ascii="Times New Roman" w:hAnsi="Times New Roman" w:cs="Times New Roman"/>
          <w:sz w:val="22"/>
          <w:szCs w:val="22"/>
          <w:u w:val="none"/>
        </w:rPr>
        <w:t>epipedón</w:t>
      </w:r>
      <w:proofErr w:type="spellEnd"/>
      <w:r w:rsidRPr="00273670">
        <w:rPr>
          <w:rFonts w:ascii="Times New Roman" w:hAnsi="Times New Roman" w:cs="Times New Roman"/>
          <w:sz w:val="22"/>
          <w:szCs w:val="22"/>
          <w:u w:val="none"/>
        </w:rPr>
        <w:t xml:space="preserve"> </w:t>
      </w:r>
      <w:proofErr w:type="spellStart"/>
      <w:r w:rsidRPr="00273670">
        <w:rPr>
          <w:rFonts w:ascii="Times New Roman" w:hAnsi="Times New Roman" w:cs="Times New Roman"/>
          <w:sz w:val="22"/>
          <w:szCs w:val="22"/>
          <w:u w:val="none"/>
        </w:rPr>
        <w:t>mólico</w:t>
      </w:r>
      <w:proofErr w:type="spellEnd"/>
      <w:r w:rsidRPr="00273670">
        <w:rPr>
          <w:rFonts w:ascii="Times New Roman" w:hAnsi="Times New Roman" w:cs="Times New Roman"/>
          <w:sz w:val="22"/>
          <w:szCs w:val="22"/>
          <w:u w:val="none"/>
        </w:rPr>
        <w:t xml:space="preserve"> profundo. Los suelos de la serie poseen un potencial erosivo de grado severo, denotado por la situación actual de numerosos surcos y pequeñas cárcavas muy activas y no eliminables con la labranza.</w:t>
      </w:r>
    </w:p>
    <w:p w:rsidR="00273670" w:rsidRPr="00273670" w:rsidRDefault="00273670" w:rsidP="00273670">
      <w:pPr>
        <w:pStyle w:val="Ttulo1"/>
        <w:jc w:val="both"/>
        <w:rPr>
          <w:rFonts w:ascii="Times New Roman" w:hAnsi="Times New Roman" w:cs="Times New Roman"/>
          <w:sz w:val="22"/>
          <w:szCs w:val="22"/>
          <w:u w:val="none"/>
        </w:rPr>
      </w:pPr>
    </w:p>
    <w:p w:rsidR="00273670" w:rsidRDefault="00273670">
      <w:pPr>
        <w:widowControl/>
        <w:autoSpaceDE/>
        <w:autoSpaceDN/>
        <w:adjustRightInd/>
        <w:spacing w:after="200" w:line="276" w:lineRule="auto"/>
        <w:rPr>
          <w:rFonts w:ascii="Courier New" w:hAnsi="Courier New" w:cs="Courier New"/>
          <w:sz w:val="16"/>
          <w:u w:val="single"/>
          <w:lang w:val="es-ES_tradnl"/>
        </w:rPr>
      </w:pPr>
      <w:r>
        <w:br w:type="page"/>
      </w:r>
    </w:p>
    <w:p w:rsidR="00893042" w:rsidRPr="00893042" w:rsidRDefault="00893042" w:rsidP="00273670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93042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24194E">
        <w:rPr>
          <w:rFonts w:ascii="Times New Roman" w:hAnsi="Times New Roman"/>
          <w:b/>
          <w:sz w:val="22"/>
          <w:szCs w:val="22"/>
          <w:u w:val="single"/>
          <w:lang w:val="es-ES_tradnl"/>
        </w:rPr>
        <w:t>San Alfonso</w:t>
      </w:r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7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826"/>
        <w:gridCol w:w="826"/>
        <w:gridCol w:w="875"/>
        <w:gridCol w:w="826"/>
        <w:gridCol w:w="977"/>
      </w:tblGrid>
      <w:tr w:rsidR="00157895" w:rsidRPr="00893042" w:rsidTr="00157895">
        <w:tc>
          <w:tcPr>
            <w:tcW w:w="2943" w:type="dxa"/>
          </w:tcPr>
          <w:p w:rsidR="00157895" w:rsidRPr="00893042" w:rsidRDefault="00157895" w:rsidP="00FE010C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ER7-7</w:t>
            </w:r>
            <w:r w:rsidR="00FE010C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</w:t>
            </w:r>
            <w:bookmarkStart w:id="0" w:name="_GoBack"/>
            <w:bookmarkEnd w:id="0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5236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5237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5238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5239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5240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26" w:type="dxa"/>
          </w:tcPr>
          <w:p w:rsidR="00157895" w:rsidRPr="00893042" w:rsidRDefault="00157895" w:rsidP="00DB6A8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04-16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20-35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44-55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69-84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125-140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2.72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1.89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1.52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0.52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1.58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1.10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0.89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2.26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</w:tr>
      <w:tr w:rsidR="00157895" w:rsidRPr="00893042" w:rsidTr="00157895">
        <w:tc>
          <w:tcPr>
            <w:tcW w:w="2943" w:type="dxa"/>
            <w:tcBorders>
              <w:bottom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  <w:tcBorders>
              <w:top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34.83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47.87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45.97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43.75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30.91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24.07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20.82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21.26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22.71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33.33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58.81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48.91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50.29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52.06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64.48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6.05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3.08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3.47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3.97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4.10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B9353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0.28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0.14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0.21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57895" w:rsidRPr="00893042" w:rsidTr="00157895">
        <w:tc>
          <w:tcPr>
            <w:tcW w:w="2943" w:type="dxa"/>
            <w:tcBorders>
              <w:bottom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57895" w:rsidRPr="00893042" w:rsidTr="00157895">
        <w:tc>
          <w:tcPr>
            <w:tcW w:w="2943" w:type="dxa"/>
            <w:tcBorders>
              <w:top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B9353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B9353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1.0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157895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8.5</w:t>
            </w:r>
          </w:p>
        </w:tc>
      </w:tr>
      <w:tr w:rsidR="00157895" w:rsidRPr="00893042" w:rsidTr="00157895">
        <w:tc>
          <w:tcPr>
            <w:tcW w:w="2943" w:type="dxa"/>
            <w:tcBorders>
              <w:bottom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</w:tr>
      <w:tr w:rsidR="00157895" w:rsidRPr="00893042" w:rsidTr="00157895">
        <w:trPr>
          <w:trHeight w:val="1377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26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31.80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41.60</w:t>
            </w:r>
          </w:p>
        </w:tc>
        <w:tc>
          <w:tcPr>
            <w:tcW w:w="875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40.30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7" w:type="dxa"/>
            <w:tcBorders>
              <w:top w:val="single" w:sz="4" w:space="0" w:color="auto"/>
            </w:tcBorders>
            <w:vAlign w:val="center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25.70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33.80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32.60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3.50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3.80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0.95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0.82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0.82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0.82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57895" w:rsidRPr="00893042" w:rsidTr="00157895">
        <w:tc>
          <w:tcPr>
            <w:tcW w:w="2943" w:type="dxa"/>
            <w:tcBorders>
              <w:bottom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1.50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1.20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0.90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157895" w:rsidRPr="00893042" w:rsidTr="00157895">
        <w:tc>
          <w:tcPr>
            <w:tcW w:w="2943" w:type="dxa"/>
            <w:tcBorders>
              <w:top w:val="single" w:sz="4" w:space="0" w:color="auto"/>
            </w:tcBorders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57895" w:rsidRPr="00893042" w:rsidTr="00157895">
        <w:tc>
          <w:tcPr>
            <w:tcW w:w="2943" w:type="dxa"/>
          </w:tcPr>
          <w:p w:rsidR="00157895" w:rsidRPr="00893042" w:rsidRDefault="0015789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31.43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44.52</w:t>
            </w:r>
          </w:p>
        </w:tc>
        <w:tc>
          <w:tcPr>
            <w:tcW w:w="875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42.57</w:t>
            </w:r>
          </w:p>
        </w:tc>
        <w:tc>
          <w:tcPr>
            <w:tcW w:w="826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36.61</w:t>
            </w:r>
          </w:p>
        </w:tc>
        <w:tc>
          <w:tcPr>
            <w:tcW w:w="977" w:type="dxa"/>
          </w:tcPr>
          <w:p w:rsidR="00157895" w:rsidRPr="00893042" w:rsidRDefault="00157895" w:rsidP="00EE474F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34.06</w:t>
            </w:r>
          </w:p>
        </w:tc>
      </w:tr>
    </w:tbl>
    <w:p w:rsidR="00273670" w:rsidRPr="00893042" w:rsidRDefault="00273670" w:rsidP="00157895">
      <w:pPr>
        <w:jc w:val="both"/>
        <w:rPr>
          <w:rFonts w:ascii="Times New Roman" w:hAnsi="Times New Roman"/>
          <w:sz w:val="16"/>
        </w:rPr>
      </w:pPr>
    </w:p>
    <w:sectPr w:rsidR="00273670" w:rsidRPr="00893042" w:rsidSect="00893042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64902"/>
    <w:rsid w:val="00157895"/>
    <w:rsid w:val="0024194E"/>
    <w:rsid w:val="0024776E"/>
    <w:rsid w:val="00267ACD"/>
    <w:rsid w:val="00273670"/>
    <w:rsid w:val="002B2216"/>
    <w:rsid w:val="004E0B3C"/>
    <w:rsid w:val="00506FCC"/>
    <w:rsid w:val="005A153C"/>
    <w:rsid w:val="00806F91"/>
    <w:rsid w:val="00857270"/>
    <w:rsid w:val="00893042"/>
    <w:rsid w:val="00920E3E"/>
    <w:rsid w:val="00921106"/>
    <w:rsid w:val="00B93535"/>
    <w:rsid w:val="00C767B4"/>
    <w:rsid w:val="00D76BEC"/>
    <w:rsid w:val="00DB6A8F"/>
    <w:rsid w:val="00E00861"/>
    <w:rsid w:val="00E95E87"/>
    <w:rsid w:val="00EB2E0E"/>
    <w:rsid w:val="00EE474F"/>
    <w:rsid w:val="00EE5794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A4013-796D-4872-A685-D64AD9E9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2014-03-05T17:53:00Z</cp:lastPrinted>
  <dcterms:created xsi:type="dcterms:W3CDTF">2014-03-05T17:57:00Z</dcterms:created>
  <dcterms:modified xsi:type="dcterms:W3CDTF">2014-03-05T18:14:00Z</dcterms:modified>
</cp:coreProperties>
</file>