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4D9" w:rsidRPr="003034D9" w:rsidRDefault="003034D9" w:rsidP="003034D9">
      <w:pPr>
        <w:ind w:hanging="705"/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sz w:val="24"/>
          <w:szCs w:val="24"/>
          <w:lang w:val="es-ES_tradnl"/>
        </w:rPr>
      </w:pPr>
      <w:r w:rsidRPr="003034D9">
        <w:rPr>
          <w:b/>
          <w:bCs/>
          <w:sz w:val="24"/>
          <w:szCs w:val="24"/>
          <w:lang w:val="es-ES_tradnl"/>
        </w:rPr>
        <w:t>SERIE SAUCESITO</w:t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</w:r>
      <w:r w:rsidRPr="003034D9">
        <w:rPr>
          <w:b/>
          <w:bCs/>
          <w:sz w:val="24"/>
          <w:szCs w:val="24"/>
          <w:lang w:val="es-ES_tradnl"/>
        </w:rPr>
        <w:tab/>
        <w:t xml:space="preserve">      </w:t>
      </w:r>
      <w:r w:rsidRPr="003034D9">
        <w:rPr>
          <w:b/>
          <w:bCs/>
          <w:sz w:val="24"/>
          <w:szCs w:val="24"/>
          <w:lang w:val="es-ES_tradnl"/>
        </w:rPr>
        <w:tab/>
        <w:t xml:space="preserve">    </w:t>
      </w:r>
      <w:r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b/>
          <w:bCs/>
          <w:sz w:val="24"/>
          <w:szCs w:val="24"/>
          <w:lang w:val="es-ES_tradnl"/>
        </w:rPr>
        <w:t xml:space="preserve"> </w:t>
      </w:r>
      <w:r w:rsidRPr="003034D9">
        <w:rPr>
          <w:sz w:val="24"/>
          <w:szCs w:val="24"/>
          <w:lang w:val="es-ES_tradnl"/>
        </w:rPr>
        <w:t xml:space="preserve">Símbolo: </w:t>
      </w:r>
      <w:proofErr w:type="spellStart"/>
      <w:r w:rsidRPr="003034D9">
        <w:rPr>
          <w:b/>
          <w:sz w:val="24"/>
          <w:szCs w:val="24"/>
          <w:lang w:val="es-ES_tradnl"/>
        </w:rPr>
        <w:t>Sau</w:t>
      </w:r>
      <w:proofErr w:type="spellEnd"/>
    </w:p>
    <w:p w:rsidR="003034D9" w:rsidRDefault="003034D9" w:rsidP="003034D9">
      <w:pPr>
        <w:ind w:firstLine="705"/>
        <w:jc w:val="both"/>
        <w:rPr>
          <w:sz w:val="22"/>
          <w:szCs w:val="22"/>
        </w:rPr>
      </w:pPr>
    </w:p>
    <w:p w:rsidR="003034D9" w:rsidRDefault="003034D9" w:rsidP="003034D9">
      <w:pPr>
        <w:ind w:firstLine="705"/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 xml:space="preserve">Pertenece a la familia fina, </w:t>
      </w:r>
      <w:proofErr w:type="spellStart"/>
      <w:r w:rsidRPr="003034D9">
        <w:rPr>
          <w:sz w:val="22"/>
          <w:szCs w:val="22"/>
        </w:rPr>
        <w:t>montmorillonítica</w:t>
      </w:r>
      <w:proofErr w:type="spellEnd"/>
      <w:r w:rsidRPr="003034D9">
        <w:rPr>
          <w:sz w:val="22"/>
          <w:szCs w:val="22"/>
        </w:rPr>
        <w:t xml:space="preserve">, levemente alcalina, térmica de los </w:t>
      </w:r>
      <w:proofErr w:type="spellStart"/>
      <w:r w:rsidRPr="003034D9">
        <w:rPr>
          <w:sz w:val="22"/>
          <w:szCs w:val="22"/>
          <w:u w:val="single"/>
        </w:rPr>
        <w:t>Ocracualfes</w:t>
      </w:r>
      <w:proofErr w:type="spellEnd"/>
      <w:r w:rsidRPr="003034D9">
        <w:rPr>
          <w:sz w:val="22"/>
          <w:szCs w:val="22"/>
          <w:u w:val="single"/>
        </w:rPr>
        <w:t xml:space="preserve"> </w:t>
      </w:r>
      <w:proofErr w:type="spellStart"/>
      <w:r w:rsidRPr="003034D9">
        <w:rPr>
          <w:sz w:val="22"/>
          <w:szCs w:val="22"/>
          <w:u w:val="single"/>
        </w:rPr>
        <w:t>vérticos</w:t>
      </w:r>
      <w:proofErr w:type="spellEnd"/>
      <w:r w:rsidRPr="003034D9">
        <w:rPr>
          <w:sz w:val="22"/>
          <w:szCs w:val="22"/>
        </w:rPr>
        <w:t>. Son suelos desarrollados en materiales lacustres (limos calcáreos) densos, arcillo-limosos.</w:t>
      </w: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 xml:space="preserve">Imperfectamente drenados, con concreciones </w:t>
      </w:r>
      <w:proofErr w:type="spellStart"/>
      <w:r w:rsidRPr="003034D9">
        <w:rPr>
          <w:sz w:val="22"/>
          <w:szCs w:val="22"/>
        </w:rPr>
        <w:t>ferromanganesíferas</w:t>
      </w:r>
      <w:proofErr w:type="spellEnd"/>
      <w:r w:rsidRPr="003034D9">
        <w:rPr>
          <w:sz w:val="22"/>
          <w:szCs w:val="22"/>
        </w:rPr>
        <w:t xml:space="preserve"> prácticamente en todo el perfil, tiene un </w:t>
      </w:r>
      <w:proofErr w:type="spellStart"/>
      <w:r w:rsidRPr="003034D9">
        <w:rPr>
          <w:sz w:val="22"/>
          <w:szCs w:val="22"/>
        </w:rPr>
        <w:t>epipedón</w:t>
      </w:r>
      <w:proofErr w:type="spellEnd"/>
      <w:r w:rsidRPr="003034D9">
        <w:rPr>
          <w:sz w:val="22"/>
          <w:szCs w:val="22"/>
        </w:rPr>
        <w:t xml:space="preserve"> con colores claros, moderadamente lixiviado y degradado, franco arcillo limoso y un horizonte </w:t>
      </w:r>
      <w:proofErr w:type="spellStart"/>
      <w:r w:rsidRPr="003034D9">
        <w:rPr>
          <w:sz w:val="22"/>
          <w:szCs w:val="22"/>
        </w:rPr>
        <w:t>argíli</w:t>
      </w:r>
      <w:bookmarkStart w:id="0" w:name="_GoBack"/>
      <w:bookmarkEnd w:id="0"/>
      <w:r w:rsidRPr="003034D9">
        <w:rPr>
          <w:sz w:val="22"/>
          <w:szCs w:val="22"/>
        </w:rPr>
        <w:t>co</w:t>
      </w:r>
      <w:proofErr w:type="spellEnd"/>
      <w:r w:rsidRPr="003034D9">
        <w:rPr>
          <w:sz w:val="22"/>
          <w:szCs w:val="22"/>
        </w:rPr>
        <w:t xml:space="preserve"> muy oscuro, franco arcillo limoso a arcillo limoso, con concreciones calcáreas y algunos cristales de yeso a partir de 40-</w:t>
      </w:r>
      <w:smartTag w:uri="urn:schemas-microsoft-com:office:smarttags" w:element="metricconverter">
        <w:smartTagPr>
          <w:attr w:name="ProductID" w:val="50 cm"/>
        </w:smartTagPr>
        <w:r w:rsidRPr="003034D9">
          <w:rPr>
            <w:sz w:val="22"/>
            <w:szCs w:val="22"/>
          </w:rPr>
          <w:t>50 cm</w:t>
        </w:r>
      </w:smartTag>
      <w:r w:rsidRPr="003034D9">
        <w:rPr>
          <w:sz w:val="22"/>
          <w:szCs w:val="22"/>
        </w:rPr>
        <w:t>. Son levemente alcalinos desde los 30-</w:t>
      </w:r>
      <w:smartTag w:uri="urn:schemas-microsoft-com:office:smarttags" w:element="metricconverter">
        <w:smartTagPr>
          <w:attr w:name="ProductID" w:val="40 cm"/>
        </w:smartTagPr>
        <w:r w:rsidRPr="003034D9">
          <w:rPr>
            <w:sz w:val="22"/>
            <w:szCs w:val="22"/>
          </w:rPr>
          <w:t>40 cm</w:t>
        </w:r>
      </w:smartTag>
      <w:r w:rsidRPr="003034D9">
        <w:rPr>
          <w:sz w:val="22"/>
          <w:szCs w:val="22"/>
        </w:rPr>
        <w:t>.</w:t>
      </w:r>
    </w:p>
    <w:p w:rsidR="003034D9" w:rsidRPr="003034D9" w:rsidRDefault="003034D9" w:rsidP="003034D9">
      <w:pPr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b/>
          <w:sz w:val="22"/>
          <w:szCs w:val="22"/>
        </w:rPr>
        <w:t>Perfil tipo:</w:t>
      </w:r>
      <w:r w:rsidRPr="003034D9">
        <w:rPr>
          <w:sz w:val="22"/>
          <w:szCs w:val="22"/>
        </w:rPr>
        <w:t xml:space="preserve"> ER3</w:t>
      </w:r>
      <w:r>
        <w:rPr>
          <w:sz w:val="22"/>
          <w:szCs w:val="22"/>
        </w:rPr>
        <w:t>-</w:t>
      </w:r>
      <w:r w:rsidRPr="003034D9">
        <w:rPr>
          <w:sz w:val="22"/>
          <w:szCs w:val="22"/>
        </w:rPr>
        <w:t>32C</w:t>
      </w: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b/>
          <w:sz w:val="22"/>
          <w:szCs w:val="22"/>
        </w:rPr>
        <w:t>Fecha:</w:t>
      </w:r>
      <w:r w:rsidRPr="003034D9">
        <w:rPr>
          <w:sz w:val="22"/>
          <w:szCs w:val="22"/>
        </w:rPr>
        <w:t xml:space="preserve"> 23/III/1972</w:t>
      </w:r>
    </w:p>
    <w:p w:rsidR="003034D9" w:rsidRPr="003034D9" w:rsidRDefault="003034D9" w:rsidP="003034D9">
      <w:pPr>
        <w:jc w:val="both"/>
        <w:rPr>
          <w:sz w:val="22"/>
          <w:szCs w:val="22"/>
          <w:lang w:val="it-IT"/>
        </w:rPr>
      </w:pPr>
      <w:r>
        <w:rPr>
          <w:b/>
          <w:sz w:val="22"/>
          <w:szCs w:val="22"/>
          <w:lang w:val="it-IT"/>
        </w:rPr>
        <w:t xml:space="preserve">Ubicación: </w:t>
      </w:r>
      <w:r w:rsidRPr="003034D9">
        <w:rPr>
          <w:sz w:val="22"/>
          <w:szCs w:val="22"/>
          <w:lang w:val="it-IT"/>
        </w:rPr>
        <w:t>Estancia San Benito (oto 195-66) – Dpto. Feliciano</w:t>
      </w: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b/>
          <w:sz w:val="22"/>
          <w:szCs w:val="22"/>
        </w:rPr>
        <w:t>Reconocedores:</w:t>
      </w:r>
      <w:r w:rsidRPr="003034D9">
        <w:rPr>
          <w:sz w:val="22"/>
          <w:szCs w:val="22"/>
        </w:rPr>
        <w:t xml:space="preserve"> R. </w:t>
      </w:r>
      <w:proofErr w:type="spellStart"/>
      <w:r w:rsidRPr="003034D9">
        <w:rPr>
          <w:sz w:val="22"/>
          <w:szCs w:val="22"/>
        </w:rPr>
        <w:t>Kleinerman</w:t>
      </w:r>
      <w:proofErr w:type="spellEnd"/>
      <w:r>
        <w:rPr>
          <w:sz w:val="22"/>
          <w:szCs w:val="22"/>
        </w:rPr>
        <w:t xml:space="preserve"> - </w:t>
      </w:r>
      <w:r w:rsidRPr="003034D9">
        <w:rPr>
          <w:sz w:val="22"/>
          <w:szCs w:val="22"/>
        </w:rPr>
        <w:t xml:space="preserve">G.W. van </w:t>
      </w:r>
      <w:proofErr w:type="spellStart"/>
      <w:r w:rsidRPr="003034D9">
        <w:rPr>
          <w:sz w:val="22"/>
          <w:szCs w:val="22"/>
        </w:rPr>
        <w:t>Barneveld</w:t>
      </w:r>
      <w:proofErr w:type="spellEnd"/>
      <w:r w:rsidRPr="003034D9">
        <w:rPr>
          <w:sz w:val="22"/>
          <w:szCs w:val="22"/>
        </w:rPr>
        <w:t xml:space="preserve"> </w:t>
      </w:r>
    </w:p>
    <w:p w:rsidR="003034D9" w:rsidRPr="003034D9" w:rsidRDefault="003034D9" w:rsidP="003034D9">
      <w:pPr>
        <w:pStyle w:val="Ttulo7"/>
        <w:rPr>
          <w:sz w:val="22"/>
          <w:szCs w:val="22"/>
          <w:u w:val="single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color w:val="FF0000"/>
          <w:sz w:val="22"/>
          <w:szCs w:val="22"/>
        </w:rPr>
      </w:pPr>
      <w:r w:rsidRPr="003034D9">
        <w:rPr>
          <w:b/>
          <w:sz w:val="22"/>
          <w:szCs w:val="22"/>
        </w:rPr>
        <w:t>A11:</w:t>
      </w:r>
      <w:r>
        <w:rPr>
          <w:b/>
          <w:sz w:val="22"/>
          <w:szCs w:val="22"/>
        </w:rPr>
        <w:t xml:space="preserve"> </w:t>
      </w:r>
      <w:r w:rsidRPr="003034D9">
        <w:rPr>
          <w:sz w:val="22"/>
          <w:szCs w:val="22"/>
        </w:rPr>
        <w:t>00-</w:t>
      </w:r>
      <w:smartTag w:uri="urn:schemas-microsoft-com:office:smarttags" w:element="metricconverter">
        <w:smartTagPr>
          <w:attr w:name="ProductID" w:val="13 cm"/>
        </w:smartTagPr>
        <w:r w:rsidRPr="003034D9">
          <w:rPr>
            <w:sz w:val="22"/>
            <w:szCs w:val="22"/>
          </w:rPr>
          <w:t>13 cm</w:t>
        </w:r>
      </w:smartTag>
      <w:r w:rsidRPr="003034D9">
        <w:rPr>
          <w:sz w:val="22"/>
          <w:szCs w:val="22"/>
        </w:rPr>
        <w:t xml:space="preserve">.; gris muy oscuro (10 YR 3/1) en húmedo; gris (10 YR 5.5/1) en seco; franco limoso; estructura en bloques angulares irregulares y </w:t>
      </w:r>
      <w:proofErr w:type="spellStart"/>
      <w:r w:rsidRPr="003034D9">
        <w:rPr>
          <w:sz w:val="22"/>
          <w:szCs w:val="22"/>
        </w:rPr>
        <w:t>subangulares</w:t>
      </w:r>
      <w:proofErr w:type="spellEnd"/>
      <w:r w:rsidRPr="003034D9">
        <w:rPr>
          <w:sz w:val="22"/>
          <w:szCs w:val="22"/>
        </w:rPr>
        <w:t xml:space="preserve"> medios, moderados; duro en seco; firme en húmedo; barnices (“</w:t>
      </w:r>
      <w:proofErr w:type="spellStart"/>
      <w:r w:rsidRPr="003034D9">
        <w:rPr>
          <w:sz w:val="22"/>
          <w:szCs w:val="22"/>
        </w:rPr>
        <w:t>humic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skins</w:t>
      </w:r>
      <w:proofErr w:type="spellEnd"/>
      <w:r w:rsidRPr="003034D9">
        <w:rPr>
          <w:sz w:val="22"/>
          <w:szCs w:val="22"/>
        </w:rPr>
        <w:t>”) escasos, finos; concreciones de hierro-manganeso escasas, finas;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moteados de hierro-manganeso comunes, finos y precisos;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límite claro suave;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horizonte moderadamente lixiviado con partículas de limo suelto, decoloradas en superficie.</w:t>
      </w:r>
    </w:p>
    <w:p w:rsidR="003034D9" w:rsidRPr="003034D9" w:rsidRDefault="003034D9" w:rsidP="003034D9">
      <w:pPr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b/>
          <w:sz w:val="22"/>
          <w:szCs w:val="22"/>
        </w:rPr>
        <w:t>A12:</w:t>
      </w:r>
      <w:r>
        <w:rPr>
          <w:b/>
          <w:sz w:val="22"/>
          <w:szCs w:val="22"/>
        </w:rPr>
        <w:t xml:space="preserve"> </w:t>
      </w:r>
      <w:r w:rsidRPr="003034D9">
        <w:rPr>
          <w:sz w:val="22"/>
          <w:szCs w:val="22"/>
        </w:rPr>
        <w:t>13-</w:t>
      </w:r>
      <w:smartTag w:uri="urn:schemas-microsoft-com:office:smarttags" w:element="metricconverter">
        <w:smartTagPr>
          <w:attr w:name="ProductID" w:val="22 cm"/>
        </w:smartTagPr>
        <w:r w:rsidRPr="003034D9">
          <w:rPr>
            <w:sz w:val="22"/>
            <w:szCs w:val="22"/>
          </w:rPr>
          <w:t>22 cm</w:t>
        </w:r>
      </w:smartTag>
      <w:r w:rsidRPr="003034D9">
        <w:rPr>
          <w:sz w:val="22"/>
          <w:szCs w:val="22"/>
        </w:rPr>
        <w:t>.; gris muy oscuro (10 YR 3/1) en húmedo; gris (10 YR 5.5/1) en seco; franco arcillo limoso; estructura en bloques angulares irregulares medios moderados;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friable en húmedo; barnices (“</w:t>
      </w:r>
      <w:proofErr w:type="spellStart"/>
      <w:r w:rsidRPr="003034D9">
        <w:rPr>
          <w:sz w:val="22"/>
          <w:szCs w:val="22"/>
        </w:rPr>
        <w:t>humic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skins</w:t>
      </w:r>
      <w:proofErr w:type="spellEnd"/>
      <w:r w:rsidRPr="003034D9">
        <w:rPr>
          <w:sz w:val="22"/>
          <w:szCs w:val="22"/>
        </w:rPr>
        <w:t>”) escasos, finos; caras de fricción (“</w:t>
      </w:r>
      <w:proofErr w:type="spellStart"/>
      <w:r w:rsidRPr="003034D9">
        <w:rPr>
          <w:sz w:val="22"/>
          <w:szCs w:val="22"/>
        </w:rPr>
        <w:t>slickensides</w:t>
      </w:r>
      <w:proofErr w:type="spellEnd"/>
      <w:r w:rsidRPr="003034D9">
        <w:rPr>
          <w:sz w:val="22"/>
          <w:szCs w:val="22"/>
        </w:rPr>
        <w:t>”) escasas, finas, no intersectadas;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escasas concreciones de hierro y manganeso; moteados de hierro y manganeso comunes, finos y precisos;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límite claro suave;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horizonte algo lixiviado por las caras.</w:t>
      </w:r>
    </w:p>
    <w:p w:rsidR="003034D9" w:rsidRPr="003034D9" w:rsidRDefault="003034D9" w:rsidP="003034D9">
      <w:pPr>
        <w:jc w:val="both"/>
        <w:rPr>
          <w:color w:val="FF0000"/>
          <w:sz w:val="22"/>
          <w:szCs w:val="22"/>
        </w:rPr>
      </w:pPr>
    </w:p>
    <w:p w:rsidR="003034D9" w:rsidRPr="003034D9" w:rsidRDefault="003034D9" w:rsidP="003034D9">
      <w:pPr>
        <w:jc w:val="both"/>
        <w:rPr>
          <w:color w:val="FF0000"/>
          <w:sz w:val="22"/>
          <w:szCs w:val="22"/>
        </w:rPr>
      </w:pPr>
      <w:r w:rsidRPr="003034D9">
        <w:rPr>
          <w:b/>
          <w:sz w:val="22"/>
          <w:szCs w:val="22"/>
        </w:rPr>
        <w:t>B21t:</w:t>
      </w:r>
      <w:r>
        <w:rPr>
          <w:b/>
          <w:sz w:val="22"/>
          <w:szCs w:val="22"/>
        </w:rPr>
        <w:t xml:space="preserve"> </w:t>
      </w:r>
      <w:r w:rsidRPr="003034D9">
        <w:rPr>
          <w:sz w:val="22"/>
          <w:szCs w:val="22"/>
        </w:rPr>
        <w:t>22-</w:t>
      </w:r>
      <w:smartTag w:uri="urn:schemas-microsoft-com:office:smarttags" w:element="metricconverter">
        <w:smartTagPr>
          <w:attr w:name="ProductID" w:val="44 cm"/>
        </w:smartTagPr>
        <w:r w:rsidRPr="003034D9">
          <w:rPr>
            <w:sz w:val="22"/>
            <w:szCs w:val="22"/>
          </w:rPr>
          <w:t>44 cm</w:t>
        </w:r>
      </w:smartTag>
      <w:r w:rsidRPr="003034D9">
        <w:rPr>
          <w:sz w:val="22"/>
          <w:szCs w:val="22"/>
        </w:rPr>
        <w:t>.; negro (10 YR 2.5/1) en húmedo; arcillo limoso; estructura en prismas compuestos irregulares medios débiles, que rompen en bloques angulares irregulares medios moderados;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duro en seco; firme en húmedo; barnices (“</w:t>
      </w:r>
      <w:proofErr w:type="spellStart"/>
      <w:r w:rsidRPr="003034D9">
        <w:rPr>
          <w:sz w:val="22"/>
          <w:szCs w:val="22"/>
        </w:rPr>
        <w:t>humic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skins</w:t>
      </w:r>
      <w:proofErr w:type="spellEnd"/>
      <w:r w:rsidRPr="003034D9">
        <w:rPr>
          <w:sz w:val="22"/>
          <w:szCs w:val="22"/>
        </w:rPr>
        <w:t>”) escasos, finos; caras de fricción (“</w:t>
      </w:r>
      <w:proofErr w:type="spellStart"/>
      <w:r w:rsidRPr="003034D9">
        <w:rPr>
          <w:sz w:val="22"/>
          <w:szCs w:val="22"/>
        </w:rPr>
        <w:t>slickensides</w:t>
      </w:r>
      <w:proofErr w:type="spellEnd"/>
      <w:r w:rsidRPr="003034D9">
        <w:rPr>
          <w:sz w:val="22"/>
          <w:szCs w:val="22"/>
        </w:rPr>
        <w:t>”) escasas, finas, poco intersectadas; concreciones de hierro y manganeso escasas, finas; moteados de hierro-manganeso comunes, finos y precisos; límite gradual, suave.</w:t>
      </w:r>
    </w:p>
    <w:p w:rsidR="003034D9" w:rsidRPr="003034D9" w:rsidRDefault="003034D9" w:rsidP="003034D9">
      <w:pPr>
        <w:jc w:val="both"/>
        <w:rPr>
          <w:color w:val="FF0000"/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b/>
          <w:sz w:val="22"/>
          <w:szCs w:val="22"/>
        </w:rPr>
        <w:t>B22ca:</w:t>
      </w:r>
      <w:r>
        <w:rPr>
          <w:b/>
          <w:sz w:val="22"/>
          <w:szCs w:val="22"/>
        </w:rPr>
        <w:t xml:space="preserve"> </w:t>
      </w:r>
      <w:r w:rsidRPr="003034D9">
        <w:rPr>
          <w:sz w:val="22"/>
          <w:szCs w:val="22"/>
        </w:rPr>
        <w:t>44-</w:t>
      </w:r>
      <w:smartTag w:uri="urn:schemas-microsoft-com:office:smarttags" w:element="metricconverter">
        <w:smartTagPr>
          <w:attr w:name="ProductID" w:val="70 cm"/>
        </w:smartTagPr>
        <w:r w:rsidRPr="003034D9">
          <w:rPr>
            <w:sz w:val="22"/>
            <w:szCs w:val="22"/>
          </w:rPr>
          <w:t>70 cm</w:t>
        </w:r>
      </w:smartTag>
      <w:r w:rsidRPr="003034D9">
        <w:rPr>
          <w:sz w:val="22"/>
          <w:szCs w:val="22"/>
        </w:rPr>
        <w:t>.; gris muy oscuro (10 YR 3/1) en húmedo; arcillo limoso; estructura en prismas compuestos irregulares medios débiles, que rompen en bloques angulares irregulares medios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y gruesos, débiles; duro en seco, firme en húmedo;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 xml:space="preserve">concreciones calcáreas de hasta </w:t>
      </w:r>
      <w:smartTag w:uri="urn:schemas-microsoft-com:office:smarttags" w:element="metricconverter">
        <w:smartTagPr>
          <w:attr w:name="ProductID" w:val="3 mm"/>
        </w:smartTagPr>
        <w:r w:rsidRPr="003034D9">
          <w:rPr>
            <w:sz w:val="22"/>
            <w:szCs w:val="22"/>
          </w:rPr>
          <w:t>3 mm</w:t>
        </w:r>
      </w:smartTag>
      <w:r w:rsidRPr="003034D9">
        <w:rPr>
          <w:sz w:val="22"/>
          <w:szCs w:val="22"/>
        </w:rPr>
        <w:t>, comunes, duras y semiduras; cristales de yeso escasos;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barnices (“</w:t>
      </w:r>
      <w:proofErr w:type="spellStart"/>
      <w:r w:rsidRPr="003034D9">
        <w:rPr>
          <w:sz w:val="22"/>
          <w:szCs w:val="22"/>
        </w:rPr>
        <w:t>humic</w:t>
      </w:r>
      <w:proofErr w:type="spellEnd"/>
      <w:r w:rsidRPr="003034D9">
        <w:rPr>
          <w:sz w:val="22"/>
          <w:szCs w:val="22"/>
        </w:rPr>
        <w:t>” y “</w:t>
      </w:r>
      <w:proofErr w:type="spellStart"/>
      <w:r w:rsidRPr="003034D9">
        <w:rPr>
          <w:sz w:val="22"/>
          <w:szCs w:val="22"/>
        </w:rPr>
        <w:t>clay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humic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skins</w:t>
      </w:r>
      <w:proofErr w:type="spellEnd"/>
      <w:r w:rsidRPr="003034D9">
        <w:rPr>
          <w:sz w:val="22"/>
          <w:szCs w:val="22"/>
        </w:rPr>
        <w:t>”) escasos, finos; caras de fricción (“</w:t>
      </w:r>
      <w:proofErr w:type="spellStart"/>
      <w:r w:rsidRPr="003034D9">
        <w:rPr>
          <w:sz w:val="22"/>
          <w:szCs w:val="22"/>
        </w:rPr>
        <w:t>slickensides</w:t>
      </w:r>
      <w:proofErr w:type="spellEnd"/>
      <w:r w:rsidRPr="003034D9">
        <w:rPr>
          <w:sz w:val="22"/>
          <w:szCs w:val="22"/>
        </w:rPr>
        <w:t xml:space="preserve">”) escasas, finas, no intersectadas; vestigios de concreciones de hierro-manganeso; moteados de hierro-manganeso comunes, finos y precisos; límite difuso, suave. </w:t>
      </w:r>
    </w:p>
    <w:p w:rsidR="003034D9" w:rsidRPr="003034D9" w:rsidRDefault="003034D9" w:rsidP="003034D9">
      <w:pPr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b/>
          <w:sz w:val="22"/>
          <w:szCs w:val="22"/>
        </w:rPr>
        <w:t>B3ca:</w:t>
      </w:r>
      <w:r>
        <w:rPr>
          <w:b/>
          <w:sz w:val="22"/>
          <w:szCs w:val="22"/>
        </w:rPr>
        <w:t xml:space="preserve"> </w:t>
      </w:r>
      <w:r w:rsidRPr="003034D9">
        <w:rPr>
          <w:sz w:val="22"/>
          <w:szCs w:val="22"/>
        </w:rPr>
        <w:t>70 cm. + (115); pardo grisáceo oscuro (10 YR 3.5/1) en húmedo; arcillo limoso; estructura en bloques angulares irregulares gruesos, débiles;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duro en seco, friable a firme en húmedo;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 xml:space="preserve">concreciones calcáreas de hasta </w:t>
      </w:r>
      <w:smartTag w:uri="urn:schemas-microsoft-com:office:smarttags" w:element="metricconverter">
        <w:smartTagPr>
          <w:attr w:name="ProductID" w:val="3 mm"/>
        </w:smartTagPr>
        <w:r w:rsidRPr="003034D9">
          <w:rPr>
            <w:sz w:val="22"/>
            <w:szCs w:val="22"/>
          </w:rPr>
          <w:t>3 mm</w:t>
        </w:r>
      </w:smartTag>
      <w:r w:rsidRPr="003034D9">
        <w:rPr>
          <w:sz w:val="22"/>
          <w:szCs w:val="22"/>
        </w:rPr>
        <w:t xml:space="preserve"> comunes, duras y blandas; caras de fricción (“</w:t>
      </w:r>
      <w:proofErr w:type="spellStart"/>
      <w:r w:rsidRPr="003034D9">
        <w:rPr>
          <w:sz w:val="22"/>
          <w:szCs w:val="22"/>
        </w:rPr>
        <w:t>slickensides</w:t>
      </w:r>
      <w:proofErr w:type="spellEnd"/>
      <w:r w:rsidRPr="003034D9">
        <w:rPr>
          <w:sz w:val="22"/>
          <w:szCs w:val="22"/>
        </w:rPr>
        <w:t>”) escasos, finas, no intersectadas;</w:t>
      </w:r>
      <w:r w:rsidRPr="003034D9">
        <w:rPr>
          <w:color w:val="FF0000"/>
          <w:sz w:val="22"/>
          <w:szCs w:val="22"/>
        </w:rPr>
        <w:t xml:space="preserve"> </w:t>
      </w:r>
      <w:r w:rsidRPr="003034D9">
        <w:rPr>
          <w:sz w:val="22"/>
          <w:szCs w:val="22"/>
        </w:rPr>
        <w:t>moteados de hierro-manganeso comunes, finos y precisos.</w:t>
      </w:r>
    </w:p>
    <w:p w:rsid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3034D9">
        <w:rPr>
          <w:b/>
          <w:sz w:val="22"/>
          <w:szCs w:val="22"/>
          <w:u w:val="single"/>
        </w:rPr>
        <w:lastRenderedPageBreak/>
        <w:t>Variabilidad de rasgos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 xml:space="preserve">El </w:t>
      </w:r>
      <w:proofErr w:type="spellStart"/>
      <w:r w:rsidRPr="003034D9">
        <w:rPr>
          <w:sz w:val="22"/>
          <w:szCs w:val="22"/>
        </w:rPr>
        <w:t>epipedón</w:t>
      </w:r>
      <w:proofErr w:type="spellEnd"/>
      <w:r w:rsidRPr="003034D9">
        <w:rPr>
          <w:sz w:val="22"/>
          <w:szCs w:val="22"/>
        </w:rPr>
        <w:t xml:space="preserve"> que generalmente incluye un A11 y un A12 (o un A1 y un A3 o raramente, un A1 y un B1) varía de </w:t>
      </w:r>
      <w:smartTag w:uri="urn:schemas-microsoft-com:office:smarttags" w:element="metricconverter">
        <w:smartTagPr>
          <w:attr w:name="ProductID" w:val="15 a"/>
        </w:smartTagPr>
        <w:r w:rsidRPr="003034D9">
          <w:rPr>
            <w:sz w:val="22"/>
            <w:szCs w:val="22"/>
          </w:rPr>
          <w:t>15 a</w:t>
        </w:r>
      </w:smartTag>
      <w:r w:rsidRPr="003034D9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25 cm"/>
        </w:smartTagPr>
        <w:r w:rsidRPr="003034D9">
          <w:rPr>
            <w:sz w:val="22"/>
            <w:szCs w:val="22"/>
          </w:rPr>
          <w:t>25 cm</w:t>
        </w:r>
      </w:smartTag>
      <w:r w:rsidRPr="003034D9">
        <w:rPr>
          <w:sz w:val="22"/>
          <w:szCs w:val="22"/>
        </w:rPr>
        <w:t>. Tiene entre 26-30 % de arcilla en su parte superior y 28-35 % en la inferior y 2.5-4 % de materia orgánica.</w:t>
      </w: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 xml:space="preserve">Está moderadamente lixiviado, con colores que en la mayoría de los casos no son suficientemente oscuros para que el </w:t>
      </w:r>
      <w:proofErr w:type="spellStart"/>
      <w:r w:rsidRPr="003034D9">
        <w:rPr>
          <w:sz w:val="22"/>
          <w:szCs w:val="22"/>
        </w:rPr>
        <w:t>epipedón</w:t>
      </w:r>
      <w:proofErr w:type="spellEnd"/>
      <w:r w:rsidRPr="003034D9">
        <w:rPr>
          <w:sz w:val="22"/>
          <w:szCs w:val="22"/>
        </w:rPr>
        <w:t xml:space="preserve"> sea </w:t>
      </w:r>
      <w:proofErr w:type="spellStart"/>
      <w:r w:rsidRPr="003034D9">
        <w:rPr>
          <w:sz w:val="22"/>
          <w:szCs w:val="22"/>
        </w:rPr>
        <w:t>mólico</w:t>
      </w:r>
      <w:proofErr w:type="spellEnd"/>
      <w:r w:rsidRPr="003034D9">
        <w:rPr>
          <w:sz w:val="22"/>
          <w:szCs w:val="22"/>
        </w:rPr>
        <w:t>. En pocas situaciones éste puede describirse como un A2 incipiente.</w:t>
      </w: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 xml:space="preserve">El horizonte B2 </w:t>
      </w:r>
      <w:proofErr w:type="spellStart"/>
      <w:r w:rsidRPr="003034D9">
        <w:rPr>
          <w:sz w:val="22"/>
          <w:szCs w:val="22"/>
        </w:rPr>
        <w:t>argílico</w:t>
      </w:r>
      <w:proofErr w:type="spellEnd"/>
      <w:r w:rsidRPr="003034D9">
        <w:rPr>
          <w:sz w:val="22"/>
          <w:szCs w:val="22"/>
        </w:rPr>
        <w:t>, generalmente tiene una estructura prismática, aunque los prismas pueden ser muy débiles. Tiene 40-45 % de arcilla en su parte superior y entre 44-50 % en la inferior. Es levemente alcalino con 3-8 % de sodio intercambiable, las concreciones de calcáreo aparecen entre 40-</w:t>
      </w:r>
      <w:smartTag w:uri="urn:schemas-microsoft-com:office:smarttags" w:element="metricconverter">
        <w:smartTagPr>
          <w:attr w:name="ProductID" w:val="50 cm"/>
        </w:smartTagPr>
        <w:r w:rsidRPr="003034D9">
          <w:rPr>
            <w:sz w:val="22"/>
            <w:szCs w:val="22"/>
          </w:rPr>
          <w:t>50 cm</w:t>
        </w:r>
      </w:smartTag>
      <w:r w:rsidRPr="003034D9">
        <w:rPr>
          <w:sz w:val="22"/>
          <w:szCs w:val="22"/>
        </w:rPr>
        <w:t xml:space="preserve">. pero en algunos lugares, debido a la actividad de las hormigas, pueden encontrarse a partir de los </w:t>
      </w:r>
      <w:smartTag w:uri="urn:schemas-microsoft-com:office:smarttags" w:element="metricconverter">
        <w:smartTagPr>
          <w:attr w:name="ProductID" w:val="30 cm"/>
        </w:smartTagPr>
        <w:r w:rsidRPr="003034D9">
          <w:rPr>
            <w:sz w:val="22"/>
            <w:szCs w:val="22"/>
          </w:rPr>
          <w:t>30 cm</w:t>
        </w:r>
      </w:smartTag>
      <w:r w:rsidRPr="003034D9">
        <w:rPr>
          <w:sz w:val="22"/>
          <w:szCs w:val="22"/>
        </w:rPr>
        <w:t>. La presencia de cristales de yeso en su parte inferior es común. En seco, este horizonte se abre en grietas de 1-</w:t>
      </w:r>
      <w:smartTag w:uri="urn:schemas-microsoft-com:office:smarttags" w:element="metricconverter">
        <w:smartTagPr>
          <w:attr w:name="ProductID" w:val="3 cm"/>
        </w:smartTagPr>
        <w:r w:rsidRPr="003034D9">
          <w:rPr>
            <w:sz w:val="22"/>
            <w:szCs w:val="22"/>
          </w:rPr>
          <w:t>3 cm</w:t>
        </w:r>
      </w:smartTag>
      <w:r w:rsidRPr="003034D9">
        <w:rPr>
          <w:sz w:val="22"/>
          <w:szCs w:val="22"/>
        </w:rPr>
        <w:t xml:space="preserve"> de ancho, las cuales pueden llegar en épocas muy secas hasta la superficie.</w:t>
      </w: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 xml:space="preserve">En estos suelos existe una moderada actividad de las hormigas. Se han desarrollado en materiales arcillo-limosos, con 40-45 % de arcilla y con 6-9 % de sodio intercambiable. Son materiales lacustres ("limos calcáreos") pero es probable que hayan sido enriquecidos con materiales </w:t>
      </w:r>
      <w:proofErr w:type="spellStart"/>
      <w:r w:rsidRPr="003034D9">
        <w:rPr>
          <w:sz w:val="22"/>
          <w:szCs w:val="22"/>
        </w:rPr>
        <w:t>loesoides</w:t>
      </w:r>
      <w:proofErr w:type="spellEnd"/>
      <w:r w:rsidRPr="003034D9">
        <w:rPr>
          <w:sz w:val="22"/>
          <w:szCs w:val="22"/>
        </w:rPr>
        <w:t>.</w:t>
      </w:r>
    </w:p>
    <w:p w:rsidR="003034D9" w:rsidRP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</w:p>
    <w:p w:rsidR="003034D9" w:rsidRP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3034D9">
        <w:rPr>
          <w:b/>
          <w:sz w:val="22"/>
          <w:szCs w:val="22"/>
          <w:u w:val="single"/>
        </w:rPr>
        <w:t>Fases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>Pobremente drenado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3034D9">
        <w:rPr>
          <w:b/>
          <w:sz w:val="22"/>
          <w:szCs w:val="22"/>
          <w:u w:val="single"/>
        </w:rPr>
        <w:t>Series similares y sus diferencias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  <w:r w:rsidRPr="003034D9">
        <w:rPr>
          <w:sz w:val="22"/>
          <w:szCs w:val="22"/>
        </w:rPr>
        <w:t xml:space="preserve">Se parece a </w:t>
      </w:r>
      <w:smartTag w:uri="urn:schemas-microsoft-com:office:smarttags" w:element="PersonName">
        <w:smartTagPr>
          <w:attr w:name="ProductID" w:val="la Serie Arroyo"/>
        </w:smartTagPr>
        <w:smartTag w:uri="urn:schemas-microsoft-com:office:smarttags" w:element="PersonName">
          <w:smartTagPr>
            <w:attr w:name="ProductID" w:val="la Serie"/>
          </w:smartTagPr>
          <w:r w:rsidRPr="003034D9">
            <w:rPr>
              <w:sz w:val="22"/>
              <w:szCs w:val="22"/>
            </w:rPr>
            <w:t>la Serie</w:t>
          </w:r>
        </w:smartTag>
        <w:r w:rsidRPr="003034D9">
          <w:rPr>
            <w:sz w:val="22"/>
            <w:szCs w:val="22"/>
          </w:rPr>
          <w:t xml:space="preserve"> Arroyo</w:t>
        </w:r>
      </w:smartTag>
      <w:r w:rsidRPr="003034D9">
        <w:rPr>
          <w:sz w:val="22"/>
          <w:szCs w:val="22"/>
        </w:rPr>
        <w:t xml:space="preserve"> Quebracho (más hidromórfico) y a las Series </w:t>
      </w:r>
      <w:proofErr w:type="spellStart"/>
      <w:r w:rsidRPr="003034D9">
        <w:rPr>
          <w:sz w:val="22"/>
          <w:szCs w:val="22"/>
        </w:rPr>
        <w:t>Grecco</w:t>
      </w:r>
      <w:proofErr w:type="spellEnd"/>
      <w:r w:rsidRPr="003034D9">
        <w:rPr>
          <w:sz w:val="22"/>
          <w:szCs w:val="22"/>
        </w:rPr>
        <w:t xml:space="preserve"> y Colonia Trece (más alcalino). Otros </w:t>
      </w:r>
      <w:proofErr w:type="spellStart"/>
      <w:r w:rsidRPr="003034D9">
        <w:rPr>
          <w:sz w:val="22"/>
          <w:szCs w:val="22"/>
        </w:rPr>
        <w:t>planosoles</w:t>
      </w:r>
      <w:proofErr w:type="spellEnd"/>
      <w:r w:rsidRPr="003034D9">
        <w:rPr>
          <w:sz w:val="22"/>
          <w:szCs w:val="22"/>
        </w:rPr>
        <w:t xml:space="preserve"> son menos </w:t>
      </w:r>
      <w:proofErr w:type="spellStart"/>
      <w:r w:rsidRPr="003034D9">
        <w:rPr>
          <w:sz w:val="22"/>
          <w:szCs w:val="22"/>
        </w:rPr>
        <w:t>vertisólicos</w:t>
      </w:r>
      <w:proofErr w:type="spellEnd"/>
      <w:r w:rsidRPr="003034D9">
        <w:rPr>
          <w:sz w:val="22"/>
          <w:szCs w:val="22"/>
        </w:rPr>
        <w:t xml:space="preserve"> (</w:t>
      </w:r>
      <w:proofErr w:type="spellStart"/>
      <w:r w:rsidRPr="003034D9">
        <w:rPr>
          <w:sz w:val="22"/>
          <w:szCs w:val="22"/>
        </w:rPr>
        <w:t>Ocracualfes</w:t>
      </w:r>
      <w:proofErr w:type="spellEnd"/>
      <w:r w:rsidRPr="003034D9">
        <w:rPr>
          <w:sz w:val="22"/>
          <w:szCs w:val="22"/>
        </w:rPr>
        <w:t xml:space="preserve"> típicos). Serie Arroyo Quebracho y </w:t>
      </w:r>
      <w:proofErr w:type="spellStart"/>
      <w:r w:rsidRPr="003034D9">
        <w:rPr>
          <w:sz w:val="22"/>
          <w:szCs w:val="22"/>
        </w:rPr>
        <w:t>Grecco</w:t>
      </w:r>
      <w:proofErr w:type="spellEnd"/>
      <w:r w:rsidRPr="003034D9">
        <w:rPr>
          <w:sz w:val="22"/>
          <w:szCs w:val="22"/>
        </w:rPr>
        <w:t xml:space="preserve"> pertenecen al Dpto. Feliciano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3034D9">
        <w:rPr>
          <w:b/>
          <w:sz w:val="22"/>
          <w:szCs w:val="22"/>
          <w:u w:val="single"/>
        </w:rPr>
        <w:t>Drenaje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>Imperfectamente drenado; encharcamiento después de cada lluvia mayor; prácticamente no existe escurrimiento superficial. Napa freática relativamente profunda. Grupo hidrológico D.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3034D9">
        <w:rPr>
          <w:b/>
          <w:sz w:val="22"/>
          <w:szCs w:val="22"/>
          <w:u w:val="single"/>
        </w:rPr>
        <w:t>Erosión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 xml:space="preserve">La Serie </w:t>
      </w:r>
      <w:proofErr w:type="spellStart"/>
      <w:r w:rsidRPr="003034D9">
        <w:rPr>
          <w:sz w:val="22"/>
          <w:szCs w:val="22"/>
        </w:rPr>
        <w:t>Saucesito</w:t>
      </w:r>
      <w:proofErr w:type="spellEnd"/>
      <w:r w:rsidRPr="003034D9">
        <w:rPr>
          <w:sz w:val="22"/>
          <w:szCs w:val="22"/>
        </w:rPr>
        <w:t xml:space="preserve"> no está erosionada pero existe peligro de erosión.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shd w:val="clear" w:color="auto" w:fill="FFFFFF"/>
        <w:jc w:val="both"/>
        <w:rPr>
          <w:b/>
          <w:sz w:val="22"/>
          <w:szCs w:val="22"/>
          <w:u w:val="single"/>
        </w:rPr>
      </w:pPr>
      <w:r w:rsidRPr="003034D9">
        <w:rPr>
          <w:b/>
          <w:sz w:val="22"/>
          <w:szCs w:val="22"/>
          <w:u w:val="single"/>
        </w:rPr>
        <w:t>Vegetación típica</w:t>
      </w:r>
    </w:p>
    <w:p w:rsidR="003034D9" w:rsidRPr="003034D9" w:rsidRDefault="003034D9" w:rsidP="003034D9">
      <w:pPr>
        <w:shd w:val="clear" w:color="auto" w:fill="FFFFFF"/>
        <w:jc w:val="both"/>
        <w:rPr>
          <w:sz w:val="22"/>
          <w:szCs w:val="22"/>
        </w:rPr>
      </w:pPr>
    </w:p>
    <w:p w:rsidR="003034D9" w:rsidRPr="003034D9" w:rsidRDefault="003034D9" w:rsidP="003034D9">
      <w:pPr>
        <w:jc w:val="both"/>
        <w:rPr>
          <w:sz w:val="22"/>
          <w:szCs w:val="22"/>
        </w:rPr>
      </w:pPr>
      <w:r w:rsidRPr="003034D9">
        <w:rPr>
          <w:sz w:val="22"/>
          <w:szCs w:val="22"/>
        </w:rPr>
        <w:t>Monte de Montiel con especies como espinillo (Acacia caven) y algarrobo (</w:t>
      </w:r>
      <w:proofErr w:type="spellStart"/>
      <w:r w:rsidRPr="003034D9">
        <w:rPr>
          <w:sz w:val="22"/>
          <w:szCs w:val="22"/>
        </w:rPr>
        <w:t>Prosopis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nigra</w:t>
      </w:r>
      <w:proofErr w:type="spellEnd"/>
      <w:r w:rsidRPr="003034D9">
        <w:rPr>
          <w:sz w:val="22"/>
          <w:szCs w:val="22"/>
        </w:rPr>
        <w:t>) con algo de "caranday" o "palma" (</w:t>
      </w:r>
      <w:proofErr w:type="spellStart"/>
      <w:r w:rsidRPr="003034D9">
        <w:rPr>
          <w:sz w:val="22"/>
          <w:szCs w:val="22"/>
        </w:rPr>
        <w:t>Trithrinax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campestris</w:t>
      </w:r>
      <w:proofErr w:type="spellEnd"/>
      <w:r w:rsidRPr="003034D9">
        <w:rPr>
          <w:sz w:val="22"/>
          <w:szCs w:val="22"/>
        </w:rPr>
        <w:t>), chañar (</w:t>
      </w:r>
      <w:proofErr w:type="spellStart"/>
      <w:r w:rsidRPr="003034D9">
        <w:rPr>
          <w:sz w:val="22"/>
          <w:szCs w:val="22"/>
        </w:rPr>
        <w:t>Geoffroea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decorticans</w:t>
      </w:r>
      <w:proofErr w:type="spellEnd"/>
      <w:r w:rsidRPr="003034D9">
        <w:rPr>
          <w:sz w:val="22"/>
          <w:szCs w:val="22"/>
        </w:rPr>
        <w:t>), quebracho blanco (</w:t>
      </w:r>
      <w:proofErr w:type="spellStart"/>
      <w:r w:rsidRPr="003034D9">
        <w:rPr>
          <w:sz w:val="22"/>
          <w:szCs w:val="22"/>
        </w:rPr>
        <w:t>Aspidosperma</w:t>
      </w:r>
      <w:proofErr w:type="spellEnd"/>
      <w:r w:rsidRPr="003034D9">
        <w:rPr>
          <w:sz w:val="22"/>
          <w:szCs w:val="22"/>
        </w:rPr>
        <w:t xml:space="preserve"> quebracho blanco) y tuna. Pasturas </w:t>
      </w:r>
      <w:proofErr w:type="spellStart"/>
      <w:r w:rsidRPr="003034D9">
        <w:rPr>
          <w:sz w:val="22"/>
          <w:szCs w:val="22"/>
        </w:rPr>
        <w:t>hidromórficas</w:t>
      </w:r>
      <w:proofErr w:type="spellEnd"/>
      <w:r w:rsidRPr="003034D9">
        <w:rPr>
          <w:sz w:val="22"/>
          <w:szCs w:val="22"/>
        </w:rPr>
        <w:t xml:space="preserve"> buenas con variedades como </w:t>
      </w:r>
      <w:proofErr w:type="spellStart"/>
      <w:r w:rsidRPr="003034D9">
        <w:rPr>
          <w:sz w:val="22"/>
          <w:szCs w:val="22"/>
        </w:rPr>
        <w:t>Stipa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sp</w:t>
      </w:r>
      <w:proofErr w:type="spellEnd"/>
      <w:r w:rsidRPr="003034D9">
        <w:rPr>
          <w:sz w:val="22"/>
          <w:szCs w:val="22"/>
        </w:rPr>
        <w:t xml:space="preserve">., </w:t>
      </w:r>
      <w:proofErr w:type="spellStart"/>
      <w:r w:rsidRPr="003034D9">
        <w:rPr>
          <w:sz w:val="22"/>
          <w:szCs w:val="22"/>
        </w:rPr>
        <w:t>Paspalum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notatum</w:t>
      </w:r>
      <w:proofErr w:type="spellEnd"/>
      <w:r w:rsidRPr="003034D9">
        <w:rPr>
          <w:sz w:val="22"/>
          <w:szCs w:val="22"/>
        </w:rPr>
        <w:t xml:space="preserve">, </w:t>
      </w:r>
      <w:proofErr w:type="spellStart"/>
      <w:r w:rsidRPr="003034D9">
        <w:rPr>
          <w:sz w:val="22"/>
          <w:szCs w:val="22"/>
        </w:rPr>
        <w:t>Bromus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auleticus</w:t>
      </w:r>
      <w:proofErr w:type="spellEnd"/>
      <w:r w:rsidRPr="003034D9">
        <w:rPr>
          <w:sz w:val="22"/>
          <w:szCs w:val="22"/>
        </w:rPr>
        <w:t xml:space="preserve">, </w:t>
      </w:r>
      <w:proofErr w:type="spellStart"/>
      <w:r w:rsidRPr="003034D9">
        <w:rPr>
          <w:sz w:val="22"/>
          <w:szCs w:val="22"/>
        </w:rPr>
        <w:t>Eriochloa</w:t>
      </w:r>
      <w:proofErr w:type="spellEnd"/>
      <w:r w:rsidRPr="003034D9">
        <w:rPr>
          <w:sz w:val="22"/>
          <w:szCs w:val="22"/>
        </w:rPr>
        <w:t xml:space="preserve"> </w:t>
      </w:r>
      <w:proofErr w:type="spellStart"/>
      <w:r w:rsidRPr="003034D9">
        <w:rPr>
          <w:sz w:val="22"/>
          <w:szCs w:val="22"/>
        </w:rPr>
        <w:t>montevidensis</w:t>
      </w:r>
      <w:proofErr w:type="spellEnd"/>
      <w:r w:rsidRPr="003034D9">
        <w:rPr>
          <w:sz w:val="22"/>
          <w:szCs w:val="22"/>
        </w:rPr>
        <w:t xml:space="preserve"> y muchas </w:t>
      </w:r>
      <w:proofErr w:type="spellStart"/>
      <w:r w:rsidRPr="003034D9">
        <w:rPr>
          <w:sz w:val="22"/>
          <w:szCs w:val="22"/>
        </w:rPr>
        <w:t>Cyperaceae</w:t>
      </w:r>
      <w:proofErr w:type="spellEnd"/>
      <w:r w:rsidRPr="003034D9">
        <w:rPr>
          <w:sz w:val="22"/>
          <w:szCs w:val="22"/>
        </w:rPr>
        <w:t xml:space="preserve">. </w:t>
      </w:r>
    </w:p>
    <w:p w:rsidR="003034D9" w:rsidRPr="003034D9" w:rsidRDefault="003034D9" w:rsidP="003034D9">
      <w:pPr>
        <w:rPr>
          <w:b/>
          <w:sz w:val="22"/>
          <w:szCs w:val="22"/>
          <w:lang w:val="es-ES_tradnl"/>
        </w:rPr>
      </w:pPr>
      <w:r w:rsidRPr="003034D9">
        <w:rPr>
          <w:color w:val="FF0000"/>
          <w:sz w:val="22"/>
          <w:szCs w:val="22"/>
        </w:rPr>
        <w:br w:type="page"/>
      </w:r>
      <w:r w:rsidRPr="003034D9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3034D9" w:rsidRPr="003034D9" w:rsidRDefault="003034D9" w:rsidP="003034D9">
      <w:pPr>
        <w:jc w:val="both"/>
        <w:rPr>
          <w:sz w:val="22"/>
          <w:szCs w:val="22"/>
          <w:lang w:val="es-ES_tradnl"/>
        </w:rPr>
      </w:pPr>
    </w:p>
    <w:p w:rsidR="003034D9" w:rsidRPr="003034D9" w:rsidRDefault="003034D9" w:rsidP="003034D9">
      <w:pPr>
        <w:jc w:val="both"/>
        <w:rPr>
          <w:b/>
          <w:sz w:val="22"/>
          <w:szCs w:val="22"/>
          <w:lang w:val="es-ES_tradnl"/>
        </w:rPr>
      </w:pPr>
      <w:r w:rsidRPr="003034D9">
        <w:rPr>
          <w:b/>
          <w:sz w:val="22"/>
          <w:szCs w:val="22"/>
          <w:u w:val="single"/>
          <w:lang w:val="es-ES_tradnl"/>
        </w:rPr>
        <w:t xml:space="preserve">Serie </w:t>
      </w:r>
      <w:proofErr w:type="spellStart"/>
      <w:r w:rsidRPr="003034D9">
        <w:rPr>
          <w:b/>
          <w:sz w:val="22"/>
          <w:szCs w:val="22"/>
          <w:u w:val="single"/>
          <w:lang w:val="es-ES_tradnl"/>
        </w:rPr>
        <w:t>Saucesito</w:t>
      </w:r>
      <w:proofErr w:type="spellEnd"/>
    </w:p>
    <w:p w:rsidR="003034D9" w:rsidRPr="003034D9" w:rsidRDefault="003034D9" w:rsidP="003034D9">
      <w:pPr>
        <w:ind w:firstLine="567"/>
        <w:jc w:val="center"/>
        <w:rPr>
          <w:b/>
          <w:sz w:val="22"/>
          <w:szCs w:val="22"/>
          <w:u w:val="single"/>
          <w:lang w:val="es-ES_tradnl"/>
        </w:rPr>
      </w:pPr>
    </w:p>
    <w:tbl>
      <w:tblPr>
        <w:tblW w:w="4147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2"/>
        <w:gridCol w:w="779"/>
        <w:gridCol w:w="1384"/>
        <w:gridCol w:w="938"/>
        <w:gridCol w:w="938"/>
        <w:gridCol w:w="937"/>
        <w:gridCol w:w="931"/>
        <w:gridCol w:w="8"/>
        <w:gridCol w:w="931"/>
      </w:tblGrid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ER3</w:t>
            </w:r>
            <w:r>
              <w:rPr>
                <w:sz w:val="22"/>
                <w:szCs w:val="22"/>
              </w:rPr>
              <w:t>-</w:t>
            </w:r>
            <w:r w:rsidRPr="003034D9">
              <w:rPr>
                <w:sz w:val="22"/>
                <w:szCs w:val="22"/>
              </w:rPr>
              <w:t>32C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739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740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741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742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743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Horizonte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B23ca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B3ca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Profundidad (cm)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00-12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13-22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26-37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50-62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76-95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proofErr w:type="spellStart"/>
            <w:r w:rsidRPr="003034D9">
              <w:rPr>
                <w:sz w:val="22"/>
                <w:szCs w:val="22"/>
              </w:rPr>
              <w:t>Mat.orgánica</w:t>
            </w:r>
            <w:proofErr w:type="spellEnd"/>
            <w:r w:rsidRPr="003034D9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3.33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1.90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1.72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1.35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1.04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trHeight w:val="147"/>
        </w:trPr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 (%)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1.94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1.10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1.00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0.79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0.61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N (%)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0.189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0.107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0.099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0.075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0.064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1856" w:type="pct"/>
            <w:gridSpan w:val="3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C/N </w:t>
            </w:r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29" w:type="pct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25" w:type="pct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30" w:type="pct"/>
            <w:gridSpan w:val="2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9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T                             &lt;2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29.1</w:t>
            </w:r>
          </w:p>
        </w:tc>
        <w:tc>
          <w:tcPr>
            <w:tcW w:w="630" w:type="pct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34.5</w:t>
            </w:r>
          </w:p>
        </w:tc>
        <w:tc>
          <w:tcPr>
            <w:tcW w:w="629" w:type="pct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41.2</w:t>
            </w:r>
          </w:p>
        </w:tc>
        <w:tc>
          <w:tcPr>
            <w:tcW w:w="625" w:type="pct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48.7</w:t>
            </w:r>
          </w:p>
        </w:tc>
        <w:tc>
          <w:tcPr>
            <w:tcW w:w="630" w:type="pct"/>
            <w:gridSpan w:val="2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42.4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E                          2-20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34.5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35.2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31.2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21.0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29.1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X                          2-50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70.0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64.5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57.9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50.8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56.8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T                      50-100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pStyle w:val="Encabezado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 xml:space="preserve">U                    100-250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</w:rPr>
              <w:t xml:space="preserve">R                    250-500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0.2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 xml:space="preserve">A               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3034D9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3034D9">
              <w:rPr>
                <w:sz w:val="22"/>
                <w:szCs w:val="22"/>
                <w:lang w:val="es-ES_tradnl"/>
              </w:rPr>
              <w:t xml:space="preserve">1000 </w:t>
            </w:r>
            <w:r w:rsidRPr="003034D9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9" w:type="pct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0" w:type="pct"/>
            <w:gridSpan w:val="2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  <w:tcBorders>
              <w:top w:val="single" w:sz="4" w:space="0" w:color="auto"/>
            </w:tcBorders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CO3Ca (%)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9" w:type="pct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1.3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5.7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6.5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625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7.7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7.7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c>
          <w:tcPr>
            <w:tcW w:w="1856" w:type="pct"/>
            <w:gridSpan w:val="3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3034D9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5.0</w:t>
            </w:r>
          </w:p>
        </w:tc>
        <w:tc>
          <w:tcPr>
            <w:tcW w:w="630" w:type="pct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5.4</w:t>
            </w:r>
          </w:p>
        </w:tc>
        <w:tc>
          <w:tcPr>
            <w:tcW w:w="629" w:type="pct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6.0</w:t>
            </w:r>
          </w:p>
        </w:tc>
        <w:tc>
          <w:tcPr>
            <w:tcW w:w="625" w:type="pct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6.5</w:t>
            </w:r>
          </w:p>
        </w:tc>
        <w:tc>
          <w:tcPr>
            <w:tcW w:w="630" w:type="pct"/>
            <w:gridSpan w:val="2"/>
            <w:tcBorders>
              <w:bottom w:val="single" w:sz="6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6.6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Capacidad de intercambio</w:t>
            </w:r>
          </w:p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catiónico (</w:t>
            </w:r>
            <w:proofErr w:type="spellStart"/>
            <w:r w:rsidRPr="003034D9">
              <w:rPr>
                <w:sz w:val="22"/>
                <w:szCs w:val="22"/>
              </w:rPr>
              <w:t>m.e</w:t>
            </w:r>
            <w:proofErr w:type="spellEnd"/>
            <w:r w:rsidRPr="003034D9">
              <w:rPr>
                <w:sz w:val="22"/>
                <w:szCs w:val="22"/>
              </w:rPr>
              <w:t>./100 g) =</w:t>
            </w:r>
          </w:p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Valor T</w:t>
            </w:r>
          </w:p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  <w:vAlign w:val="center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27.1</w:t>
            </w:r>
          </w:p>
        </w:tc>
        <w:tc>
          <w:tcPr>
            <w:tcW w:w="630" w:type="pct"/>
            <w:vAlign w:val="center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33.0</w:t>
            </w:r>
          </w:p>
        </w:tc>
        <w:tc>
          <w:tcPr>
            <w:tcW w:w="629" w:type="pct"/>
            <w:vAlign w:val="center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39.8</w:t>
            </w:r>
          </w:p>
        </w:tc>
        <w:tc>
          <w:tcPr>
            <w:tcW w:w="625" w:type="pct"/>
            <w:vAlign w:val="center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40.2</w:t>
            </w:r>
          </w:p>
        </w:tc>
        <w:tc>
          <w:tcPr>
            <w:tcW w:w="630" w:type="pct"/>
            <w:gridSpan w:val="2"/>
            <w:vAlign w:val="center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38.4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</w:tc>
        <w:tc>
          <w:tcPr>
            <w:tcW w:w="523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D</w:t>
            </w:r>
          </w:p>
        </w:tc>
        <w:tc>
          <w:tcPr>
            <w:tcW w:w="928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Ca++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20.0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25.1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30.8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-</w:t>
            </w:r>
          </w:p>
        </w:tc>
        <w:tc>
          <w:tcPr>
            <w:tcW w:w="624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-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</w:t>
            </w:r>
          </w:p>
        </w:tc>
        <w:tc>
          <w:tcPr>
            <w:tcW w:w="523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E</w:t>
            </w:r>
          </w:p>
        </w:tc>
        <w:tc>
          <w:tcPr>
            <w:tcW w:w="928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A</w:t>
            </w:r>
          </w:p>
        </w:tc>
        <w:tc>
          <w:tcPr>
            <w:tcW w:w="523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</w:tc>
        <w:tc>
          <w:tcPr>
            <w:tcW w:w="928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Mg++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2.7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-</w:t>
            </w:r>
          </w:p>
        </w:tc>
        <w:tc>
          <w:tcPr>
            <w:tcW w:w="624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-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T</w:t>
            </w:r>
          </w:p>
        </w:tc>
        <w:tc>
          <w:tcPr>
            <w:tcW w:w="523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C</w:t>
            </w:r>
          </w:p>
        </w:tc>
        <w:tc>
          <w:tcPr>
            <w:tcW w:w="928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I</w:t>
            </w:r>
          </w:p>
        </w:tc>
        <w:tc>
          <w:tcPr>
            <w:tcW w:w="523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A</w:t>
            </w:r>
          </w:p>
        </w:tc>
        <w:tc>
          <w:tcPr>
            <w:tcW w:w="928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K+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624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0.5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O</w:t>
            </w:r>
          </w:p>
        </w:tc>
        <w:tc>
          <w:tcPr>
            <w:tcW w:w="523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M</w:t>
            </w:r>
          </w:p>
        </w:tc>
        <w:tc>
          <w:tcPr>
            <w:tcW w:w="928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N</w:t>
            </w:r>
          </w:p>
        </w:tc>
        <w:tc>
          <w:tcPr>
            <w:tcW w:w="523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B</w:t>
            </w:r>
          </w:p>
        </w:tc>
        <w:tc>
          <w:tcPr>
            <w:tcW w:w="928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proofErr w:type="spellStart"/>
            <w:r w:rsidRPr="003034D9">
              <w:rPr>
                <w:sz w:val="22"/>
                <w:szCs w:val="22"/>
              </w:rPr>
              <w:t>Na</w:t>
            </w:r>
            <w:proofErr w:type="spellEnd"/>
            <w:r w:rsidRPr="003034D9">
              <w:rPr>
                <w:sz w:val="22"/>
                <w:szCs w:val="22"/>
              </w:rPr>
              <w:t>+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2.8</w:t>
            </w:r>
          </w:p>
        </w:tc>
        <w:tc>
          <w:tcPr>
            <w:tcW w:w="624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2.8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E</w:t>
            </w:r>
          </w:p>
        </w:tc>
        <w:tc>
          <w:tcPr>
            <w:tcW w:w="523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I</w:t>
            </w:r>
          </w:p>
        </w:tc>
        <w:tc>
          <w:tcPr>
            <w:tcW w:w="928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4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S</w:t>
            </w:r>
          </w:p>
        </w:tc>
        <w:tc>
          <w:tcPr>
            <w:tcW w:w="523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O</w:t>
            </w:r>
          </w:p>
        </w:tc>
        <w:tc>
          <w:tcPr>
            <w:tcW w:w="928" w:type="pct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H+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4.1</w:t>
            </w:r>
          </w:p>
        </w:tc>
        <w:tc>
          <w:tcPr>
            <w:tcW w:w="630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3.1</w:t>
            </w:r>
          </w:p>
        </w:tc>
        <w:tc>
          <w:tcPr>
            <w:tcW w:w="629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630" w:type="pct"/>
            <w:gridSpan w:val="2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-</w:t>
            </w:r>
          </w:p>
        </w:tc>
        <w:tc>
          <w:tcPr>
            <w:tcW w:w="624" w:type="pct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-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pct"/>
            <w:gridSpan w:val="3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3034D9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3034D9">
              <w:rPr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2.9</w:t>
            </w:r>
          </w:p>
        </w:tc>
        <w:tc>
          <w:tcPr>
            <w:tcW w:w="630" w:type="pct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4.5</w:t>
            </w:r>
          </w:p>
        </w:tc>
        <w:tc>
          <w:tcPr>
            <w:tcW w:w="629" w:type="pct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5.3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6.9</w:t>
            </w:r>
          </w:p>
        </w:tc>
        <w:tc>
          <w:tcPr>
            <w:tcW w:w="630" w:type="pct"/>
            <w:gridSpan w:val="2"/>
            <w:tcBorders>
              <w:bottom w:val="single" w:sz="4" w:space="0" w:color="auto"/>
            </w:tcBorders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7.3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pct"/>
            <w:gridSpan w:val="3"/>
            <w:tcBorders>
              <w:top w:val="single" w:sz="4" w:space="0" w:color="auto"/>
            </w:tcBorders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</w:p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33.1</w:t>
            </w:r>
          </w:p>
        </w:tc>
        <w:tc>
          <w:tcPr>
            <w:tcW w:w="630" w:type="pct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40.0</w:t>
            </w:r>
          </w:p>
        </w:tc>
        <w:tc>
          <w:tcPr>
            <w:tcW w:w="629" w:type="pct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47.5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50.2</w:t>
            </w:r>
          </w:p>
        </w:tc>
        <w:tc>
          <w:tcPr>
            <w:tcW w:w="630" w:type="pct"/>
            <w:gridSpan w:val="2"/>
            <w:tcBorders>
              <w:top w:val="single" w:sz="4" w:space="0" w:color="auto"/>
            </w:tcBorders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49.5</w:t>
            </w:r>
          </w:p>
        </w:tc>
      </w:tr>
      <w:tr w:rsidR="003034D9" w:rsidRPr="003034D9" w:rsidTr="003034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6" w:type="pct"/>
            <w:gridSpan w:val="3"/>
          </w:tcPr>
          <w:p w:rsidR="003034D9" w:rsidRPr="003034D9" w:rsidRDefault="003034D9" w:rsidP="003034D9">
            <w:pPr>
              <w:rPr>
                <w:sz w:val="22"/>
                <w:szCs w:val="22"/>
              </w:rPr>
            </w:pPr>
            <w:r w:rsidRPr="003034D9">
              <w:rPr>
                <w:sz w:val="22"/>
                <w:szCs w:val="22"/>
              </w:rPr>
              <w:t>SO4Ca (g/%)</w:t>
            </w:r>
          </w:p>
        </w:tc>
        <w:tc>
          <w:tcPr>
            <w:tcW w:w="630" w:type="pct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0" w:type="pct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9" w:type="pct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5" w:type="pct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30" w:type="pct"/>
            <w:gridSpan w:val="2"/>
            <w:vAlign w:val="bottom"/>
          </w:tcPr>
          <w:p w:rsidR="003034D9" w:rsidRPr="003034D9" w:rsidRDefault="003034D9" w:rsidP="003034D9">
            <w:pPr>
              <w:jc w:val="center"/>
              <w:rPr>
                <w:sz w:val="22"/>
                <w:szCs w:val="22"/>
                <w:lang w:val="es-ES_tradnl"/>
              </w:rPr>
            </w:pPr>
            <w:r w:rsidRPr="003034D9">
              <w:rPr>
                <w:sz w:val="22"/>
                <w:szCs w:val="22"/>
                <w:lang w:val="es-ES_tradnl"/>
              </w:rPr>
              <w:t>-</w:t>
            </w:r>
          </w:p>
        </w:tc>
      </w:tr>
    </w:tbl>
    <w:p w:rsidR="00E10424" w:rsidRPr="003034D9" w:rsidRDefault="00E10424" w:rsidP="003034D9">
      <w:pPr>
        <w:ind w:firstLine="567"/>
        <w:jc w:val="center"/>
        <w:rPr>
          <w:sz w:val="22"/>
          <w:szCs w:val="22"/>
        </w:rPr>
      </w:pPr>
    </w:p>
    <w:sectPr w:rsidR="00E10424" w:rsidRPr="003034D9" w:rsidSect="003034D9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56B" w:rsidRDefault="00BF756B" w:rsidP="003034D9">
      <w:r>
        <w:separator/>
      </w:r>
    </w:p>
  </w:endnote>
  <w:endnote w:type="continuationSeparator" w:id="0">
    <w:p w:rsidR="00BF756B" w:rsidRDefault="00BF756B" w:rsidP="0030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56B" w:rsidRDefault="00BF756B" w:rsidP="003034D9">
      <w:r>
        <w:separator/>
      </w:r>
    </w:p>
  </w:footnote>
  <w:footnote w:type="continuationSeparator" w:id="0">
    <w:p w:rsidR="00BF756B" w:rsidRDefault="00BF756B" w:rsidP="003034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4D9"/>
    <w:rsid w:val="003034D9"/>
    <w:rsid w:val="00BF756B"/>
    <w:rsid w:val="00E1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4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3034D9"/>
    <w:pPr>
      <w:keepNext/>
      <w:jc w:val="both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3034D9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rsid w:val="003034D9"/>
  </w:style>
  <w:style w:type="paragraph" w:styleId="Encabezado">
    <w:name w:val="header"/>
    <w:basedOn w:val="Normal"/>
    <w:link w:val="EncabezadoCar"/>
    <w:rsid w:val="003034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3034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034D9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1027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2014-02-11T11:48:00Z</dcterms:created>
  <dcterms:modified xsi:type="dcterms:W3CDTF">2014-02-11T11:53:00Z</dcterms:modified>
</cp:coreProperties>
</file>