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"/>
        </w:rPr>
      </w:pPr>
    </w:p>
    <w:p w:rsidR="00C53648" w:rsidRPr="00C53648" w:rsidRDefault="00C53648" w:rsidP="00C5364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53648">
        <w:rPr>
          <w:b/>
          <w:szCs w:val="24"/>
        </w:rPr>
        <w:t>SERIE</w:t>
      </w:r>
      <w:r w:rsidRPr="00C53648">
        <w:rPr>
          <w:szCs w:val="24"/>
        </w:rPr>
        <w:t xml:space="preserve"> </w:t>
      </w:r>
      <w:r w:rsidRPr="00C53648">
        <w:rPr>
          <w:b/>
          <w:bCs/>
          <w:szCs w:val="24"/>
          <w:lang w:val="es-ES_tradnl"/>
        </w:rPr>
        <w:t>SIETE COLINAS</w:t>
      </w:r>
      <w:r w:rsidRPr="00C53648">
        <w:rPr>
          <w:szCs w:val="24"/>
        </w:rPr>
        <w:t xml:space="preserve">                                                                               Símbolo: </w:t>
      </w:r>
      <w:proofErr w:type="spellStart"/>
      <w:r w:rsidRPr="00C53648">
        <w:rPr>
          <w:b/>
          <w:szCs w:val="24"/>
        </w:rPr>
        <w:t>SCol</w:t>
      </w:r>
      <w:proofErr w:type="spellEnd"/>
    </w:p>
    <w:p w:rsid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 xml:space="preserve">Pertenece a la familia "franco fina, mixta, térmica" de los </w:t>
      </w:r>
      <w:proofErr w:type="spellStart"/>
      <w:r w:rsidRPr="00C53648">
        <w:rPr>
          <w:rFonts w:ascii="Times New Roman" w:hAnsi="Times New Roman"/>
          <w:sz w:val="22"/>
          <w:szCs w:val="22"/>
          <w:u w:val="single"/>
          <w:lang w:val="es-ES_tradnl"/>
        </w:rPr>
        <w:t>Hapludoles</w:t>
      </w:r>
      <w:proofErr w:type="spellEnd"/>
      <w:r w:rsidRPr="00C53648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u w:val="single"/>
          <w:lang w:val="es-ES_tradnl"/>
        </w:rPr>
        <w:t>rendólicos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. Son suelos poco profundos, bien drenados, con un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, franco-arcillo-limoso, y un horizonte levemente desarrollado, franco-limoso, de color pardo grisáceo oscuro.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 xml:space="preserve">Presenta concreciones calcáreas y carbonatos  libres  en la masa, prácticamente en todo el perfil. Son suelos desarrollados en materiales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muy heterogéneos en corta distancia, que se han depositado sobre materiales calcáreos consolidados muy antiguos (bancos de "tosca" calcárea de edad pliocena/pleistocena).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 ER7-99C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 27-VI-1995.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 Predio de La Abadía del Niño Dios (Foto 421-92) - dto. Corrales - Dpto. Victoria.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 L.O. López;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.   </w:t>
      </w:r>
    </w:p>
    <w:p w:rsid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C5364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00-21 cm; pardo oscuro (10YR 3/3) en húmedo; franco-arcillo-limoso; estructura granular y en bloques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, finos, débiles; friable en húmedo; barnices "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", comunes y "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", escasos, finos; moteados de hierro-manganeso, escasos, finos, débiles; concreciones calcáreas escasas; límite claro, suave.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53648">
        <w:rPr>
          <w:rFonts w:ascii="Times New Roman" w:hAnsi="Times New Roman"/>
          <w:b/>
          <w:sz w:val="22"/>
          <w:szCs w:val="22"/>
          <w:lang w:val="es-ES_tradnl"/>
        </w:rPr>
        <w:t>ACca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21-47 cm; pardo oscuro (7.5YR 4.5/4) en húmedo; franco-limoso; estructura en bloques angulares irregulares y bloques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, medios, débiles; muy friable en húmedo; barnices "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", escasos; moteados de hierro-manganeso escasos, finos y débiles; abundante cantidad de carbonatos libres en la masa; concreciones calcáreas escasas; límite gradual, suave.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53648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47-105 cm; pardo (7.5YR 5/4) en húmedo; franco-limoso; estructura masiva; moteados de hierro-manganeso escasos, finos, débiles; abundante cantidad de carbonatos libres en la masa; concreciones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calcáreasa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comunes de hasta 0,5 cm</w:t>
      </w:r>
      <w:proofErr w:type="gramStart"/>
      <w:r w:rsidRPr="00C53648">
        <w:rPr>
          <w:rFonts w:ascii="Times New Roman" w:hAnsi="Times New Roman"/>
          <w:sz w:val="22"/>
          <w:szCs w:val="22"/>
          <w:lang w:val="es-ES_tradnl"/>
        </w:rPr>
        <w:t>,;</w:t>
      </w:r>
      <w:proofErr w:type="gram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límite difuso, suave.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lang w:val="es-ES_tradnl"/>
        </w:rPr>
        <w:t>CR</w:t>
      </w:r>
      <w:r w:rsidRPr="00C5364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105 + cm; gris oliva (5Y 5/2), 70% de la matriz, y pardo pálido (10YR 6/3), 30 % restante en húmedo; franco-limoso; estructura masiva; moteados y concreciones de hierro y manganeso escasas; abundante cantidad de carbonatos libres en la masa; concreciones calcáreos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diagenizadas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.</w:t>
      </w:r>
    </w:p>
    <w:p w:rsid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 xml:space="preserve">Este banco calcáreo aparece en el perfil a profundidades variables y, en muchos casos, aflora en superficie; la génesis de este material geológico (edad pliocena-pleistocena) parece estar asociada a la formación (elevación) de la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entrerriana, manteniendo un nivel uniforme sobre el nivel del mar (aprox. 37 a 43 metros). 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 xml:space="preserve">Este estrato (consolidado unas veces, friable y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pulvurulento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otras) es de una textura muy variable entre franco-arenosa a arcillosa, fosilífero en su parte inferior -marina- y con aspecto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loessiforme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o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tobásico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en sus formaciones superiores. 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Este material ha sido interpretado por algunos autores como un antiguo horizonte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petrocálcico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 xml:space="preserve"> que pertenecería a un antiguo perfil, truncado, sobre el cual el manto de loess se habría depositado. Ante la falta de otros elementos de juicio para confirmar su génesis, se ha preferido -a los fines del levantamiento de suelos- considerar a este material como de origen geológico, hasta tanto posteriores estudios evidencien lo contrario.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>No se han distinguido fases a la escala de reconocimiento (1:100,000).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7374F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 xml:space="preserve">Se parece a la serie Don Javier que tiene un perfil algo </w:t>
      </w:r>
      <w:r w:rsidR="007374FB" w:rsidRPr="00C53648">
        <w:rPr>
          <w:rFonts w:ascii="Times New Roman" w:hAnsi="Times New Roman"/>
          <w:sz w:val="22"/>
          <w:szCs w:val="22"/>
          <w:lang w:val="es-ES_tradnl"/>
        </w:rPr>
        <w:t>más</w:t>
      </w:r>
      <w:r w:rsidRPr="00C53648">
        <w:rPr>
          <w:rFonts w:ascii="Times New Roman" w:hAnsi="Times New Roman"/>
          <w:sz w:val="22"/>
          <w:szCs w:val="22"/>
          <w:lang w:val="es-ES_tradnl"/>
        </w:rPr>
        <w:t xml:space="preserve"> desarrollado y se halla en otro paisaje y a la serie La Juanita que tiene un horizonte </w:t>
      </w:r>
      <w:proofErr w:type="spellStart"/>
      <w:r w:rsidRPr="00C53648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C53648">
        <w:rPr>
          <w:rFonts w:ascii="Times New Roman" w:hAnsi="Times New Roman"/>
          <w:sz w:val="22"/>
          <w:szCs w:val="22"/>
          <w:lang w:val="es-ES_tradnl"/>
        </w:rPr>
        <w:t>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7374F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>Bien drenado; escurrimiento superficial muy rápido. Permeabilidad moderadamente rápida. Napa freática profunda. Grupo hidrológico C.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>La Serie Siete Colinas tiene un grado de erosión hídrica actual muy variable a corta distancia, dependiendo de: la pendiente, la presencia o ausencia del horizonte B2 y la profundidad a la que aparece la tosca. En parte, la estabilidad del paisaje frente a la erosión (tanto natural como acelerada) está determinada por el control estructural que ejerce el banco calcáreo consolidado. Aún en pendientes de hasta 12 % se ha podido observar una relativa estabilidad del perfil.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53648">
        <w:rPr>
          <w:rFonts w:ascii="Times New Roman" w:hAnsi="Times New Roman"/>
          <w:sz w:val="22"/>
          <w:szCs w:val="22"/>
          <w:lang w:val="es-ES_tradnl"/>
        </w:rPr>
        <w:t xml:space="preserve">Las pendientes normalmente cortas, la presencia de calcáreo en todo el perfil y el B2 poco desarrollado (o ausente) y de infiltración relativamente rápida, contribuyen a que el escurrimiento generado no tenga mayormente potencialidad erosiva.  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C53648" w:rsidRPr="00C53648" w:rsidSect="00C53648">
          <w:endnotePr>
            <w:numFmt w:val="decimal"/>
          </w:endnotePr>
          <w:pgSz w:w="12242" w:h="15842" w:code="1"/>
          <w:pgMar w:top="1418" w:right="1701" w:bottom="1418" w:left="1701" w:header="1134" w:footer="1701" w:gutter="0"/>
          <w:cols w:space="720"/>
          <w:noEndnote/>
          <w:titlePg/>
          <w:docGrid w:linePitch="272"/>
        </w:sectPr>
      </w:pPr>
    </w:p>
    <w:p w:rsidR="00C53648" w:rsidRPr="00C53648" w:rsidRDefault="00C53648" w:rsidP="007374FB">
      <w:pPr>
        <w:tabs>
          <w:tab w:val="center" w:pos="4535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C53648" w:rsidRPr="00C53648" w:rsidRDefault="00C53648" w:rsidP="00C53648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53648">
        <w:rPr>
          <w:rFonts w:ascii="Times New Roman" w:hAnsi="Times New Roman"/>
          <w:b/>
          <w:sz w:val="22"/>
          <w:szCs w:val="22"/>
          <w:u w:val="single"/>
          <w:lang w:val="es-ES_tradnl"/>
        </w:rPr>
        <w:t>Serie Siete Colinas</w:t>
      </w:r>
    </w:p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7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1394"/>
        <w:gridCol w:w="1032"/>
        <w:gridCol w:w="1033"/>
        <w:gridCol w:w="1033"/>
        <w:gridCol w:w="1032"/>
      </w:tblGrid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ER7-99C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10.391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10.392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10.393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10.394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ACca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Cca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CR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5-17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30-40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44-100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110-120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T        </w:t>
            </w:r>
            <w:r w:rsidR="007374FB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 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30.87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25.16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25.04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26.27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2- 0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19.36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17.48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18.32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18.00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63.99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69.17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64.30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62.90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0.88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1.75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2.71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100-250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4.19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5.00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8.83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8.09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250-500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0.08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0.03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7374F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="007374FB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bookmarkStart w:id="0" w:name="_GoBack"/>
            <w:bookmarkEnd w:id="0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1000</w:t>
            </w:r>
            <w:r w:rsidR="007374FB">
              <w:rPr>
                <w:rFonts w:ascii="Times New Roman" w:hAnsi="Times New Roman"/>
                <w:sz w:val="22"/>
                <w:szCs w:val="22"/>
              </w:rPr>
              <w:t>-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2000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14.3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23.6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18.35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7.8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7.9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7.9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C53648" w:rsidRPr="00C53648" w:rsidRDefault="00C53648" w:rsidP="00C53648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32.90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24.6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3.8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1.71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1.54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1.45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1.45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2.67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3.07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3.10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28.56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25.23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24.60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23.77</w:t>
            </w:r>
          </w:p>
        </w:tc>
      </w:tr>
      <w:tr w:rsidR="00C53648" w:rsidRPr="00C53648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53648" w:rsidRPr="00C53648" w:rsidRDefault="00C53648" w:rsidP="00C53648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</w:tr>
    </w:tbl>
    <w:p w:rsidR="00C53648" w:rsidRPr="00C53648" w:rsidRDefault="00C53648" w:rsidP="00C53648">
      <w:pPr>
        <w:jc w:val="both"/>
        <w:rPr>
          <w:rFonts w:ascii="Times New Roman" w:hAnsi="Times New Roman"/>
          <w:sz w:val="22"/>
          <w:szCs w:val="22"/>
        </w:rPr>
      </w:pPr>
    </w:p>
    <w:p w:rsidR="00610974" w:rsidRPr="00C53648" w:rsidRDefault="00610974" w:rsidP="00C53648">
      <w:pPr>
        <w:rPr>
          <w:rFonts w:ascii="Times New Roman" w:hAnsi="Times New Roman"/>
          <w:sz w:val="22"/>
          <w:szCs w:val="22"/>
        </w:rPr>
      </w:pPr>
    </w:p>
    <w:sectPr w:rsidR="00610974" w:rsidRPr="00C53648" w:rsidSect="00C53648">
      <w:headerReference w:type="default" r:id="rId5"/>
      <w:footerReference w:type="default" r:id="rId6"/>
      <w:endnotePr>
        <w:numFmt w:val="decimal"/>
      </w:endnotePr>
      <w:pgSz w:w="12242" w:h="15842" w:code="1"/>
      <w:pgMar w:top="1418" w:right="1701" w:bottom="1418" w:left="1701" w:header="1134" w:footer="1701" w:gutter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B3" w:rsidRDefault="007374FB">
    <w:pPr>
      <w:spacing w:line="240" w:lineRule="exact"/>
    </w:pPr>
  </w:p>
  <w:p w:rsidR="00E861B3" w:rsidRDefault="007374FB">
    <w:pPr>
      <w:jc w:val="both"/>
      <w:rPr>
        <w:rFonts w:ascii="Courier" w:hAnsi="Courier"/>
        <w:sz w:val="24"/>
      </w:rPr>
    </w:pPr>
    <w:r>
      <w:rPr>
        <w:rFonts w:ascii="Courier New" w:hAnsi="Courier New" w:cs="Courier New"/>
        <w:sz w:val="24"/>
      </w:rPr>
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</w:r>
  </w:p>
  <w:p w:rsidR="00E861B3" w:rsidRDefault="007374FB">
    <w:pPr>
      <w:tabs>
        <w:tab w:val="right" w:pos="9002"/>
      </w:tabs>
      <w:jc w:val="both"/>
      <w:rPr>
        <w:rFonts w:ascii="Courier" w:hAnsi="Courier"/>
        <w:sz w:val="24"/>
      </w:rPr>
    </w:pPr>
    <w:proofErr w:type="spellStart"/>
    <w:r>
      <w:rPr>
        <w:b/>
        <w:bCs/>
        <w:sz w:val="22"/>
        <w:szCs w:val="22"/>
      </w:rPr>
      <w:t>Carta</w:t>
    </w:r>
    <w:proofErr w:type="spellEnd"/>
    <w:r>
      <w:rPr>
        <w:b/>
        <w:bCs/>
        <w:sz w:val="22"/>
        <w:szCs w:val="22"/>
      </w:rPr>
      <w:t xml:space="preserve"> de Suelos de </w:t>
    </w:r>
    <w:smartTag w:uri="urn:schemas-microsoft-com:office:smarttags" w:element="PersonName">
      <w:smartTagPr>
        <w:attr w:name="ProductID" w:val="la Rep￺blica Argentina"/>
      </w:smartTagPr>
      <w:r>
        <w:rPr>
          <w:b/>
          <w:bCs/>
          <w:sz w:val="22"/>
          <w:szCs w:val="22"/>
        </w:rPr>
        <w:t xml:space="preserve">la </w:t>
      </w:r>
      <w:proofErr w:type="spellStart"/>
      <w:r>
        <w:rPr>
          <w:b/>
          <w:bCs/>
          <w:sz w:val="22"/>
          <w:szCs w:val="22"/>
        </w:rPr>
        <w:t>República</w:t>
      </w:r>
      <w:proofErr w:type="spellEnd"/>
      <w:r>
        <w:rPr>
          <w:b/>
          <w:bCs/>
          <w:sz w:val="22"/>
          <w:szCs w:val="22"/>
        </w:rPr>
        <w:t xml:space="preserve"> Argentina</w:t>
      </w:r>
    </w:smartTag>
    <w:r>
      <w:rPr>
        <w:b/>
        <w:bCs/>
        <w:sz w:val="22"/>
        <w:szCs w:val="22"/>
      </w:rPr>
      <w:tab/>
    </w:r>
    <w:proofErr w:type="spellStart"/>
    <w:r>
      <w:rPr>
        <w:b/>
        <w:bCs/>
        <w:sz w:val="22"/>
        <w:szCs w:val="22"/>
      </w:rPr>
      <w:t>Departamento</w:t>
    </w:r>
    <w:proofErr w:type="spellEnd"/>
    <w:r>
      <w:rPr>
        <w:b/>
        <w:bCs/>
        <w:sz w:val="22"/>
        <w:szCs w:val="22"/>
      </w:rPr>
      <w:t xml:space="preserve"> Victoria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B3" w:rsidRDefault="007374FB">
    <w:pPr>
      <w:framePr w:w="9071" w:wrap="notBeside" w:vAnchor="text" w:hAnchor="text" w:x="1" w:y="1"/>
      <w:ind w:right="1134"/>
      <w:jc w:val="both"/>
      <w:rPr>
        <w:rFonts w:ascii="Courier" w:hAnsi="Courier"/>
        <w:sz w:val="24"/>
        <w:lang w:val="es-ES_tradnl"/>
      </w:rPr>
    </w:pPr>
    <w:r>
      <w:rPr>
        <w:b/>
        <w:bCs/>
        <w:sz w:val="22"/>
        <w:szCs w:val="22"/>
        <w:lang w:val="es-ES_tradnl"/>
      </w:rPr>
      <w:t>Apéndice B - Vegetación natural</w:t>
    </w:r>
  </w:p>
  <w:p w:rsidR="00E861B3" w:rsidRDefault="007374FB">
    <w:pPr>
      <w:framePr w:w="9071" w:wrap="notBeside" w:vAnchor="text" w:hAnchor="text" w:x="1" w:y="1"/>
      <w:ind w:right="1134"/>
      <w:jc w:val="both"/>
      <w:rPr>
        <w:sz w:val="22"/>
        <w:szCs w:val="22"/>
        <w:lang w:val="es-ES_tradnl"/>
      </w:rPr>
    </w:pPr>
    <w:r>
      <w:rPr>
        <w:rFonts w:ascii="Courier New" w:hAnsi="Courier New" w:cs="Courier New"/>
        <w:sz w:val="24"/>
        <w:lang w:val="es-ES_tradnl"/>
      </w:rPr>
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</w:r>
    <w:r>
      <w:rPr>
        <w:rFonts w:ascii="Courier New" w:hAnsi="Courier New" w:cs="Courier New"/>
        <w:sz w:val="24"/>
        <w:lang w:val="es-ES_tradnl"/>
      </w:rPr>
      <w:t>────────────</w:t>
    </w:r>
  </w:p>
  <w:p w:rsidR="00E861B3" w:rsidRDefault="007374FB">
    <w:pPr>
      <w:framePr w:w="9072" w:wrap="notBeside" w:vAnchor="text" w:hAnchor="text" w:x="1" w:y="1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PAGE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119</w:t>
    </w:r>
    <w:r>
      <w:rPr>
        <w:sz w:val="22"/>
        <w:szCs w:val="22"/>
      </w:rPr>
      <w:fldChar w:fldCharType="end"/>
    </w:r>
  </w:p>
  <w:p w:rsidR="00E861B3" w:rsidRDefault="007374FB">
    <w:pPr>
      <w:ind w:left="-260" w:right="306"/>
      <w:rPr>
        <w:sz w:val="24"/>
      </w:rPr>
    </w:pPr>
  </w:p>
  <w:p w:rsidR="00E861B3" w:rsidRDefault="007374FB">
    <w:pPr>
      <w:spacing w:line="240" w:lineRule="exac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48"/>
    <w:rsid w:val="00610974"/>
    <w:rsid w:val="007374FB"/>
    <w:rsid w:val="00C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4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536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53648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C5364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5364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4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536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53648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C5364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5364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834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2014-02-10T15:32:00Z</dcterms:created>
  <dcterms:modified xsi:type="dcterms:W3CDTF">2014-02-10T15:35:00Z</dcterms:modified>
</cp:coreProperties>
</file>