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>SERIE TACUARAS</w:t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</w:r>
      <w:r w:rsidRPr="001038F2">
        <w:rPr>
          <w:b/>
          <w:bCs/>
          <w:sz w:val="22"/>
          <w:szCs w:val="22"/>
          <w:lang w:val="es-ES_tradnl"/>
        </w:rPr>
        <w:tab/>
        <w:t xml:space="preserve">    </w:t>
      </w:r>
      <w:r>
        <w:rPr>
          <w:b/>
          <w:bCs/>
          <w:sz w:val="22"/>
          <w:szCs w:val="22"/>
          <w:lang w:val="es-ES_tradnl"/>
        </w:rPr>
        <w:t xml:space="preserve">    </w:t>
      </w:r>
      <w:bookmarkStart w:id="0" w:name="_GoBack"/>
      <w:bookmarkEnd w:id="0"/>
      <w:r>
        <w:rPr>
          <w:b/>
          <w:bCs/>
          <w:sz w:val="22"/>
          <w:szCs w:val="22"/>
          <w:lang w:val="es-ES_tradnl"/>
        </w:rPr>
        <w:t xml:space="preserve">  </w:t>
      </w:r>
      <w:r w:rsidRPr="001038F2">
        <w:rPr>
          <w:b/>
          <w:bCs/>
          <w:sz w:val="22"/>
          <w:szCs w:val="22"/>
          <w:lang w:val="es-ES_tradnl"/>
        </w:rPr>
        <w:t xml:space="preserve"> </w:t>
      </w:r>
      <w:r w:rsidRPr="001038F2">
        <w:rPr>
          <w:sz w:val="22"/>
          <w:szCs w:val="22"/>
          <w:lang w:val="es-ES_tradnl"/>
        </w:rPr>
        <w:t xml:space="preserve">Símbolo: </w:t>
      </w:r>
      <w:r w:rsidRPr="001038F2">
        <w:rPr>
          <w:b/>
          <w:bCs/>
          <w:sz w:val="22"/>
          <w:szCs w:val="22"/>
          <w:lang w:val="es-ES_tradnl"/>
        </w:rPr>
        <w:t>Tc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sz w:val="22"/>
          <w:szCs w:val="22"/>
          <w:lang w:val="es-ES_tradnl"/>
        </w:rPr>
        <w:t xml:space="preserve">Pertenece a la familia "franco, mixta, térmica" de los </w:t>
      </w:r>
      <w:proofErr w:type="spellStart"/>
      <w:r w:rsidRPr="001038F2">
        <w:rPr>
          <w:sz w:val="22"/>
          <w:szCs w:val="22"/>
          <w:u w:val="single"/>
          <w:lang w:val="es-ES_tradnl"/>
        </w:rPr>
        <w:t>Argiudoles</w:t>
      </w:r>
      <w:proofErr w:type="spellEnd"/>
      <w:r w:rsidRPr="001038F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1038F2">
        <w:rPr>
          <w:sz w:val="22"/>
          <w:szCs w:val="22"/>
          <w:u w:val="single"/>
          <w:lang w:val="es-ES_tradnl"/>
        </w:rPr>
        <w:t>ácuicos</w:t>
      </w:r>
      <w:proofErr w:type="spellEnd"/>
      <w:r w:rsidRPr="001038F2">
        <w:rPr>
          <w:sz w:val="22"/>
          <w:szCs w:val="22"/>
          <w:lang w:val="es-ES_tradnl"/>
        </w:rPr>
        <w:t xml:space="preserve">. Moderadamente bien drenados, con un </w:t>
      </w:r>
      <w:proofErr w:type="spellStart"/>
      <w:r w:rsidRPr="001038F2">
        <w:rPr>
          <w:sz w:val="22"/>
          <w:szCs w:val="22"/>
          <w:lang w:val="es-ES_tradnl"/>
        </w:rPr>
        <w:t>epipedón</w:t>
      </w:r>
      <w:proofErr w:type="spellEnd"/>
      <w:r w:rsidRPr="001038F2">
        <w:rPr>
          <w:sz w:val="22"/>
          <w:szCs w:val="22"/>
          <w:lang w:val="es-ES_tradnl"/>
        </w:rPr>
        <w:t xml:space="preserve"> oscuro, franco-limoso a franco y un horizonte </w:t>
      </w:r>
      <w:proofErr w:type="spellStart"/>
      <w:r w:rsidRPr="001038F2">
        <w:rPr>
          <w:sz w:val="22"/>
          <w:szCs w:val="22"/>
          <w:lang w:val="es-ES_tradnl"/>
        </w:rPr>
        <w:t>argílico</w:t>
      </w:r>
      <w:proofErr w:type="spellEnd"/>
      <w:r w:rsidRPr="001038F2">
        <w:rPr>
          <w:sz w:val="22"/>
          <w:szCs w:val="22"/>
          <w:lang w:val="es-ES_tradnl"/>
        </w:rPr>
        <w:t xml:space="preserve"> oscuro, franco-arcillo-limoso a franco arcilloso, tiene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y algunas caras de fricción ("</w:t>
      </w:r>
      <w:proofErr w:type="spellStart"/>
      <w:r w:rsidRPr="001038F2">
        <w:rPr>
          <w:sz w:val="22"/>
          <w:szCs w:val="22"/>
          <w:lang w:val="es-ES_tradnl"/>
        </w:rPr>
        <w:t>slickensides</w:t>
      </w:r>
      <w:proofErr w:type="spellEnd"/>
      <w:r w:rsidRPr="001038F2">
        <w:rPr>
          <w:sz w:val="22"/>
          <w:szCs w:val="22"/>
          <w:lang w:val="es-ES_tradnl"/>
        </w:rPr>
        <w:t>"). Son suelos desarrollados sobre materiales limo-</w:t>
      </w:r>
      <w:proofErr w:type="spellStart"/>
      <w:r w:rsidRPr="001038F2">
        <w:rPr>
          <w:sz w:val="22"/>
          <w:szCs w:val="22"/>
          <w:lang w:val="es-ES_tradnl"/>
        </w:rPr>
        <w:t>loessoides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retransportados</w:t>
      </w:r>
      <w:proofErr w:type="spellEnd"/>
      <w:r w:rsidRPr="001038F2">
        <w:rPr>
          <w:sz w:val="22"/>
          <w:szCs w:val="22"/>
          <w:lang w:val="es-ES_tradnl"/>
        </w:rPr>
        <w:t xml:space="preserve"> y mezclados con material arenoso fluvial.</w:t>
      </w:r>
    </w:p>
    <w:p w:rsidR="001038F2" w:rsidRDefault="001038F2" w:rsidP="001038F2">
      <w:pPr>
        <w:widowControl w:val="0"/>
        <w:tabs>
          <w:tab w:val="left" w:pos="9071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9071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 xml:space="preserve">Perfil tipo: </w:t>
      </w:r>
      <w:r w:rsidRPr="001038F2">
        <w:rPr>
          <w:sz w:val="22"/>
          <w:szCs w:val="22"/>
          <w:lang w:val="es-ES_tradnl"/>
        </w:rPr>
        <w:t>ER2-</w:t>
      </w:r>
      <w:smartTag w:uri="urn:schemas-microsoft-com:office:smarttags" w:element="metricconverter">
        <w:smartTagPr>
          <w:attr w:name="ProductID" w:val="26C"/>
        </w:smartTagPr>
        <w:r w:rsidRPr="001038F2">
          <w:rPr>
            <w:sz w:val="22"/>
            <w:szCs w:val="22"/>
            <w:lang w:val="es-ES_tradnl"/>
          </w:rPr>
          <w:t>26C</w:t>
        </w:r>
      </w:smartTag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 xml:space="preserve">Fecha: </w:t>
      </w:r>
      <w:r w:rsidRPr="001038F2">
        <w:rPr>
          <w:sz w:val="22"/>
          <w:szCs w:val="22"/>
          <w:lang w:val="es-ES_tradnl"/>
        </w:rPr>
        <w:t>08-IX-1971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 xml:space="preserve">Ubicación: </w:t>
      </w:r>
      <w:r w:rsidRPr="001038F2">
        <w:rPr>
          <w:sz w:val="22"/>
          <w:szCs w:val="22"/>
          <w:lang w:val="es-ES_tradnl"/>
        </w:rPr>
        <w:t xml:space="preserve">Estancia El Aguará (foto IR 477-17) </w:t>
      </w:r>
      <w:proofErr w:type="spellStart"/>
      <w:r w:rsidRPr="001038F2">
        <w:rPr>
          <w:sz w:val="22"/>
          <w:szCs w:val="22"/>
          <w:lang w:val="es-ES_tradnl"/>
        </w:rPr>
        <w:t>Dpto</w:t>
      </w:r>
      <w:proofErr w:type="spellEnd"/>
      <w:r w:rsidRPr="001038F2">
        <w:rPr>
          <w:sz w:val="22"/>
          <w:szCs w:val="22"/>
          <w:lang w:val="es-ES_tradnl"/>
        </w:rPr>
        <w:t xml:space="preserve"> La Paz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 xml:space="preserve">Reconocedores: </w:t>
      </w:r>
      <w:r w:rsidRPr="001038F2">
        <w:rPr>
          <w:sz w:val="22"/>
          <w:szCs w:val="22"/>
          <w:lang w:val="es-ES_tradnl"/>
        </w:rPr>
        <w:t xml:space="preserve">C.J.J. </w:t>
      </w:r>
      <w:proofErr w:type="spellStart"/>
      <w:r w:rsidRPr="001038F2">
        <w:rPr>
          <w:sz w:val="22"/>
          <w:szCs w:val="22"/>
          <w:lang w:val="es-ES_tradnl"/>
        </w:rPr>
        <w:t>Vesco</w:t>
      </w:r>
      <w:proofErr w:type="spellEnd"/>
      <w:r w:rsidRPr="001038F2">
        <w:rPr>
          <w:sz w:val="22"/>
          <w:szCs w:val="22"/>
          <w:lang w:val="es-ES_tradnl"/>
        </w:rPr>
        <w:t xml:space="preserve">; G.W. van </w:t>
      </w:r>
      <w:proofErr w:type="spellStart"/>
      <w:r w:rsidRPr="001038F2">
        <w:rPr>
          <w:sz w:val="22"/>
          <w:szCs w:val="22"/>
          <w:lang w:val="es-ES_tradnl"/>
        </w:rPr>
        <w:t>Barneveld</w:t>
      </w:r>
      <w:proofErr w:type="spellEnd"/>
    </w:p>
    <w:p w:rsid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1038F2">
        <w:rPr>
          <w:b/>
          <w:bCs/>
          <w:sz w:val="22"/>
          <w:szCs w:val="22"/>
          <w:lang w:val="es-ES_tradnl"/>
        </w:rPr>
        <w:t>Ap</w:t>
      </w:r>
      <w:proofErr w:type="spellEnd"/>
      <w:r w:rsidRPr="001038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038F2">
        <w:rPr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5 cm"/>
        </w:smartTagPr>
        <w:r w:rsidRPr="001038F2">
          <w:rPr>
            <w:sz w:val="22"/>
            <w:szCs w:val="22"/>
            <w:lang w:val="es-ES_tradnl"/>
          </w:rPr>
          <w:t>15 cm</w:t>
        </w:r>
      </w:smartTag>
      <w:r w:rsidRPr="001038F2">
        <w:rPr>
          <w:sz w:val="22"/>
          <w:szCs w:val="22"/>
          <w:lang w:val="es-ES_tradnl"/>
        </w:rPr>
        <w:t xml:space="preserve">; pardo muy oscuro (10YR 2/1) en húmedo; pardo grisáceo (10YR 5/2) en seco; franco-limoso; estructura granular y en bloques </w:t>
      </w:r>
      <w:proofErr w:type="spellStart"/>
      <w:r w:rsidRPr="001038F2">
        <w:rPr>
          <w:sz w:val="22"/>
          <w:szCs w:val="22"/>
          <w:lang w:val="es-ES_tradnl"/>
        </w:rPr>
        <w:t>subangulares</w:t>
      </w:r>
      <w:proofErr w:type="spellEnd"/>
      <w:r w:rsidRPr="001038F2">
        <w:rPr>
          <w:sz w:val="22"/>
          <w:szCs w:val="22"/>
          <w:lang w:val="es-ES_tradnl"/>
        </w:rPr>
        <w:t xml:space="preserve">, medios, </w:t>
      </w:r>
      <w:proofErr w:type="spellStart"/>
      <w:r w:rsidRPr="001038F2">
        <w:rPr>
          <w:sz w:val="22"/>
          <w:szCs w:val="22"/>
          <w:lang w:val="es-ES_tradnl"/>
        </w:rPr>
        <w:t>moderados</w:t>
      </w:r>
      <w:proofErr w:type="gramStart"/>
      <w:r w:rsidRPr="001038F2">
        <w:rPr>
          <w:sz w:val="22"/>
          <w:szCs w:val="22"/>
          <w:lang w:val="es-ES_tradnl"/>
        </w:rPr>
        <w:t>;blando</w:t>
      </w:r>
      <w:proofErr w:type="spellEnd"/>
      <w:proofErr w:type="gramEnd"/>
      <w:r w:rsidRPr="001038F2">
        <w:rPr>
          <w:sz w:val="22"/>
          <w:szCs w:val="22"/>
          <w:lang w:val="es-ES_tradnl"/>
        </w:rPr>
        <w:t xml:space="preserve"> en seco, friable en húmedo; barnices ("</w:t>
      </w:r>
      <w:proofErr w:type="spellStart"/>
      <w:r w:rsidRPr="001038F2">
        <w:rPr>
          <w:sz w:val="22"/>
          <w:szCs w:val="22"/>
          <w:lang w:val="es-ES_tradnl"/>
        </w:rPr>
        <w:t>humic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skins</w:t>
      </w:r>
      <w:proofErr w:type="spellEnd"/>
      <w:r w:rsidRPr="001038F2">
        <w:rPr>
          <w:sz w:val="22"/>
          <w:szCs w:val="22"/>
          <w:lang w:val="es-ES_tradnl"/>
        </w:rPr>
        <w:t>") escasos, finos; vestigios de moteados de hierro ; límite claro, suave.</w:t>
      </w:r>
    </w:p>
    <w:p w:rsid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>A12</w:t>
      </w:r>
      <w:r w:rsidRPr="001038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038F2">
        <w:rPr>
          <w:sz w:val="22"/>
          <w:szCs w:val="22"/>
          <w:lang w:val="es-ES_tradnl"/>
        </w:rPr>
        <w:t>15-</w:t>
      </w:r>
      <w:smartTag w:uri="urn:schemas-microsoft-com:office:smarttags" w:element="metricconverter">
        <w:smartTagPr>
          <w:attr w:name="ProductID" w:val="32 cm"/>
        </w:smartTagPr>
        <w:r w:rsidRPr="001038F2">
          <w:rPr>
            <w:sz w:val="22"/>
            <w:szCs w:val="22"/>
            <w:lang w:val="es-ES_tradnl"/>
          </w:rPr>
          <w:t>32 cm</w:t>
        </w:r>
      </w:smartTag>
      <w:r w:rsidRPr="001038F2">
        <w:rPr>
          <w:sz w:val="22"/>
          <w:szCs w:val="22"/>
          <w:lang w:val="es-ES_tradnl"/>
        </w:rPr>
        <w:t xml:space="preserve">; gris muy oscuro (10YR 3/1) en húmedo; pardo grisáceo (10YR 5/2) en seco; franco-limoso; estructura en bloques </w:t>
      </w:r>
      <w:proofErr w:type="spellStart"/>
      <w:r w:rsidRPr="001038F2">
        <w:rPr>
          <w:sz w:val="22"/>
          <w:szCs w:val="22"/>
          <w:lang w:val="es-ES_tradnl"/>
        </w:rPr>
        <w:t>subangulares</w:t>
      </w:r>
      <w:proofErr w:type="spellEnd"/>
      <w:r w:rsidRPr="001038F2">
        <w:rPr>
          <w:sz w:val="22"/>
          <w:szCs w:val="22"/>
          <w:lang w:val="es-ES_tradnl"/>
        </w:rPr>
        <w:t xml:space="preserve"> y angulares irregulares medios, moderados; extremadamente duro en seco; firme en húmedo; barnices ("</w:t>
      </w:r>
      <w:proofErr w:type="spellStart"/>
      <w:r w:rsidRPr="001038F2">
        <w:rPr>
          <w:sz w:val="22"/>
          <w:szCs w:val="22"/>
          <w:lang w:val="es-ES_tradnl"/>
        </w:rPr>
        <w:t>clay-humic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skins</w:t>
      </w:r>
      <w:proofErr w:type="spellEnd"/>
      <w:r w:rsidRPr="001038F2">
        <w:rPr>
          <w:sz w:val="22"/>
          <w:szCs w:val="22"/>
          <w:lang w:val="es-ES_tradnl"/>
        </w:rPr>
        <w:t>") escasos, finos; concreciones de hierro-manganeso de hasta 2mm, comunes; moteados de hierro-manganeso, comunes, finos y precisos; límite claro, suave; horizonte compactado.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>B21t</w:t>
      </w:r>
      <w:r w:rsidRPr="001038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038F2">
        <w:rPr>
          <w:sz w:val="22"/>
          <w:szCs w:val="22"/>
          <w:lang w:val="es-ES_tradnl"/>
        </w:rPr>
        <w:t>33-</w:t>
      </w:r>
      <w:smartTag w:uri="urn:schemas-microsoft-com:office:smarttags" w:element="metricconverter">
        <w:smartTagPr>
          <w:attr w:name="ProductID" w:val="43 cm"/>
        </w:smartTagPr>
        <w:r w:rsidRPr="001038F2">
          <w:rPr>
            <w:sz w:val="22"/>
            <w:szCs w:val="22"/>
            <w:lang w:val="es-ES_tradnl"/>
          </w:rPr>
          <w:t>43 cm</w:t>
        </w:r>
      </w:smartTag>
      <w:r w:rsidRPr="001038F2">
        <w:rPr>
          <w:sz w:val="22"/>
          <w:szCs w:val="22"/>
          <w:lang w:val="es-ES_tradnl"/>
        </w:rPr>
        <w:t xml:space="preserve">; pardo oscuro (7.5YR 3/2) en húmedo; pardo (7.5YR 4.5/2) en seco; franco-arcillo-limoso; estructura en prismas compuestos irregulares, medios, moderados </w:t>
      </w:r>
      <w:proofErr w:type="spellStart"/>
      <w:r w:rsidRPr="001038F2">
        <w:rPr>
          <w:sz w:val="22"/>
          <w:szCs w:val="22"/>
          <w:lang w:val="es-ES_tradnl"/>
        </w:rPr>
        <w:t>ue</w:t>
      </w:r>
      <w:proofErr w:type="spellEnd"/>
      <w:r w:rsidRPr="001038F2">
        <w:rPr>
          <w:sz w:val="22"/>
          <w:szCs w:val="22"/>
          <w:lang w:val="es-ES_tradnl"/>
        </w:rPr>
        <w:t xml:space="preserve"> rompen en bloques angulares irregulares y algunos agregados cuneiformes, medios, moderados; muy duro en seco; firme en húmedo; barnices ("</w:t>
      </w:r>
      <w:proofErr w:type="spellStart"/>
      <w:r w:rsidRPr="001038F2">
        <w:rPr>
          <w:sz w:val="22"/>
          <w:szCs w:val="22"/>
          <w:lang w:val="es-ES_tradnl"/>
        </w:rPr>
        <w:t>clay-humic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skins</w:t>
      </w:r>
      <w:proofErr w:type="spellEnd"/>
      <w:r w:rsidRPr="001038F2">
        <w:rPr>
          <w:sz w:val="22"/>
          <w:szCs w:val="22"/>
          <w:lang w:val="es-ES_tradnl"/>
        </w:rPr>
        <w:t>") comunes, medios; caras de fricción ("</w:t>
      </w:r>
      <w:proofErr w:type="spellStart"/>
      <w:r w:rsidRPr="001038F2">
        <w:rPr>
          <w:sz w:val="22"/>
          <w:szCs w:val="22"/>
          <w:lang w:val="es-ES_tradnl"/>
        </w:rPr>
        <w:t>slickensides</w:t>
      </w:r>
      <w:proofErr w:type="spellEnd"/>
      <w:r w:rsidRPr="001038F2">
        <w:rPr>
          <w:sz w:val="22"/>
          <w:szCs w:val="22"/>
          <w:lang w:val="es-ES_tradnl"/>
        </w:rPr>
        <w:t xml:space="preserve">") comunes, finas no intersectadas;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de hasta </w:t>
      </w:r>
      <w:smartTag w:uri="urn:schemas-microsoft-com:office:smarttags" w:element="metricconverter">
        <w:smartTagPr>
          <w:attr w:name="ProductID" w:val="1 mm"/>
        </w:smartTagPr>
        <w:r w:rsidRPr="001038F2">
          <w:rPr>
            <w:sz w:val="22"/>
            <w:szCs w:val="22"/>
            <w:lang w:val="es-ES_tradnl"/>
          </w:rPr>
          <w:t>1 mm</w:t>
        </w:r>
      </w:smartTag>
      <w:r w:rsidRPr="001038F2">
        <w:rPr>
          <w:sz w:val="22"/>
          <w:szCs w:val="22"/>
          <w:lang w:val="es-ES_tradnl"/>
        </w:rPr>
        <w:t xml:space="preserve">, comunes; moteados de hierro-manganeso comunes, </w:t>
      </w:r>
      <w:proofErr w:type="spellStart"/>
      <w:r w:rsidRPr="001038F2">
        <w:rPr>
          <w:sz w:val="22"/>
          <w:szCs w:val="22"/>
          <w:lang w:val="es-ES_tradnl"/>
        </w:rPr>
        <w:t>finsos</w:t>
      </w:r>
      <w:proofErr w:type="spellEnd"/>
      <w:r w:rsidRPr="001038F2">
        <w:rPr>
          <w:sz w:val="22"/>
          <w:szCs w:val="22"/>
          <w:lang w:val="es-ES_tradnl"/>
        </w:rPr>
        <w:t xml:space="preserve"> y precisos; límite claro, suave.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>B22t</w:t>
      </w:r>
      <w:r w:rsidRPr="001038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038F2">
        <w:rPr>
          <w:sz w:val="22"/>
          <w:szCs w:val="22"/>
          <w:lang w:val="es-ES_tradnl"/>
        </w:rPr>
        <w:t>43-</w:t>
      </w:r>
      <w:smartTag w:uri="urn:schemas-microsoft-com:office:smarttags" w:element="metricconverter">
        <w:smartTagPr>
          <w:attr w:name="ProductID" w:val="70 cm"/>
        </w:smartTagPr>
        <w:r w:rsidRPr="001038F2">
          <w:rPr>
            <w:sz w:val="22"/>
            <w:szCs w:val="22"/>
            <w:lang w:val="es-ES_tradnl"/>
          </w:rPr>
          <w:t>70 cm</w:t>
        </w:r>
      </w:smartTag>
      <w:r w:rsidRPr="001038F2">
        <w:rPr>
          <w:sz w:val="22"/>
          <w:szCs w:val="22"/>
          <w:lang w:val="es-ES_tradnl"/>
        </w:rPr>
        <w:t xml:space="preserve">; pardo oscuro (7,5YR 3/2) en húmedo; pardo-pardo oscuro (7.5YR 4/2) en seco; franco-arcillo-limoso; estructura en prismas compuestos irregulares medios, moderados, que rompen en bloques angulares irregulares y agregados cuneiformes medios, </w:t>
      </w:r>
      <w:proofErr w:type="spellStart"/>
      <w:r w:rsidRPr="001038F2">
        <w:rPr>
          <w:sz w:val="22"/>
          <w:szCs w:val="22"/>
          <w:lang w:val="es-ES_tradnl"/>
        </w:rPr>
        <w:t>moderados;muy</w:t>
      </w:r>
      <w:proofErr w:type="spellEnd"/>
      <w:r w:rsidRPr="001038F2">
        <w:rPr>
          <w:sz w:val="22"/>
          <w:szCs w:val="22"/>
          <w:lang w:val="es-ES_tradnl"/>
        </w:rPr>
        <w:t xml:space="preserve"> duro en seco; firme en húmedo; barnices ("</w:t>
      </w:r>
      <w:proofErr w:type="spellStart"/>
      <w:r w:rsidRPr="001038F2">
        <w:rPr>
          <w:sz w:val="22"/>
          <w:szCs w:val="22"/>
          <w:lang w:val="es-ES_tradnl"/>
        </w:rPr>
        <w:t>clay-humic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skins</w:t>
      </w:r>
      <w:proofErr w:type="spellEnd"/>
      <w:r w:rsidRPr="001038F2">
        <w:rPr>
          <w:sz w:val="22"/>
          <w:szCs w:val="22"/>
          <w:lang w:val="es-ES_tradnl"/>
        </w:rPr>
        <w:t>") escasos, finos; caras de fricción ("</w:t>
      </w:r>
      <w:proofErr w:type="spellStart"/>
      <w:r w:rsidRPr="001038F2">
        <w:rPr>
          <w:sz w:val="22"/>
          <w:szCs w:val="22"/>
          <w:lang w:val="es-ES_tradnl"/>
        </w:rPr>
        <w:t>slickensides</w:t>
      </w:r>
      <w:proofErr w:type="spellEnd"/>
      <w:r w:rsidRPr="001038F2">
        <w:rPr>
          <w:sz w:val="22"/>
          <w:szCs w:val="22"/>
          <w:lang w:val="es-ES_tradnl"/>
        </w:rPr>
        <w:t xml:space="preserve">") comunes, finas no intersectadas;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de hasta </w:t>
      </w:r>
      <w:smartTag w:uri="urn:schemas-microsoft-com:office:smarttags" w:element="metricconverter">
        <w:smartTagPr>
          <w:attr w:name="ProductID" w:val="1 mm"/>
        </w:smartTagPr>
        <w:r w:rsidRPr="001038F2">
          <w:rPr>
            <w:sz w:val="22"/>
            <w:szCs w:val="22"/>
            <w:lang w:val="es-ES_tradnl"/>
          </w:rPr>
          <w:t>1 mm</w:t>
        </w:r>
      </w:smartTag>
      <w:r w:rsidRPr="001038F2">
        <w:rPr>
          <w:sz w:val="22"/>
          <w:szCs w:val="22"/>
          <w:lang w:val="es-ES_tradnl"/>
        </w:rPr>
        <w:t>, comunes; moteados de hierro-manganeso comunes, finos y precisos; límite gradual, suave.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>B3ca</w:t>
      </w:r>
      <w:r w:rsidRPr="001038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038F2">
        <w:rPr>
          <w:sz w:val="22"/>
          <w:szCs w:val="22"/>
          <w:lang w:val="es-ES_tradnl"/>
        </w:rPr>
        <w:t>70-</w:t>
      </w:r>
      <w:smartTag w:uri="urn:schemas-microsoft-com:office:smarttags" w:element="metricconverter">
        <w:smartTagPr>
          <w:attr w:name="ProductID" w:val="98 cm"/>
        </w:smartTagPr>
        <w:r w:rsidRPr="001038F2">
          <w:rPr>
            <w:sz w:val="22"/>
            <w:szCs w:val="22"/>
            <w:lang w:val="es-ES_tradnl"/>
          </w:rPr>
          <w:t>98 cm</w:t>
        </w:r>
      </w:smartTag>
      <w:r w:rsidRPr="001038F2">
        <w:rPr>
          <w:sz w:val="22"/>
          <w:szCs w:val="22"/>
          <w:lang w:val="es-ES_tradnl"/>
        </w:rPr>
        <w:t>; pardo oscuro(7,5YR 4/4) en húmedo; franco-limoso; estructura en prismas compuestos irregulares medios, débiles, que rompen en bloques angulares irregulares medios, moderados; ligeramente duro en seco; friable en húmedo; concreciones calcáreas escasas, finas; barnices (</w:t>
      </w:r>
      <w:proofErr w:type="spellStart"/>
      <w:r w:rsidRPr="001038F2">
        <w:rPr>
          <w:sz w:val="22"/>
          <w:szCs w:val="22"/>
          <w:lang w:val="es-ES_tradnl"/>
        </w:rPr>
        <w:t>clay-humic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skins</w:t>
      </w:r>
      <w:proofErr w:type="spellEnd"/>
      <w:r w:rsidRPr="001038F2">
        <w:rPr>
          <w:sz w:val="22"/>
          <w:szCs w:val="22"/>
          <w:lang w:val="es-ES_tradnl"/>
        </w:rPr>
        <w:t>") escasos, finos; caras de fricción ("</w:t>
      </w:r>
      <w:proofErr w:type="spellStart"/>
      <w:r w:rsidRPr="001038F2">
        <w:rPr>
          <w:sz w:val="22"/>
          <w:szCs w:val="22"/>
          <w:lang w:val="es-ES_tradnl"/>
        </w:rPr>
        <w:t>slickensides</w:t>
      </w:r>
      <w:proofErr w:type="spellEnd"/>
      <w:r w:rsidRPr="001038F2">
        <w:rPr>
          <w:sz w:val="22"/>
          <w:szCs w:val="22"/>
          <w:lang w:val="es-ES_tradnl"/>
        </w:rPr>
        <w:t xml:space="preserve">") escasas, medias, no intersectadas;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de hasta </w:t>
      </w:r>
      <w:smartTag w:uri="urn:schemas-microsoft-com:office:smarttags" w:element="metricconverter">
        <w:smartTagPr>
          <w:attr w:name="ProductID" w:val="1 mm"/>
        </w:smartTagPr>
        <w:r w:rsidRPr="001038F2">
          <w:rPr>
            <w:sz w:val="22"/>
            <w:szCs w:val="22"/>
            <w:lang w:val="es-ES_tradnl"/>
          </w:rPr>
          <w:t>1 mm</w:t>
        </w:r>
      </w:smartTag>
      <w:r w:rsidRPr="001038F2">
        <w:rPr>
          <w:sz w:val="22"/>
          <w:szCs w:val="22"/>
          <w:lang w:val="es-ES_tradnl"/>
        </w:rPr>
        <w:t>, escasas; moteados de hierro-manganeso comunes, finos y débiles; límite difuso, suave.</w:t>
      </w:r>
    </w:p>
    <w:p w:rsid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lang w:val="es-ES_tradnl"/>
        </w:rPr>
        <w:t>C</w:t>
      </w:r>
      <w:r w:rsidRPr="001038F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98 cm"/>
        </w:smartTagPr>
        <w:r w:rsidRPr="001038F2">
          <w:rPr>
            <w:sz w:val="22"/>
            <w:szCs w:val="22"/>
            <w:lang w:val="es-ES_tradnl"/>
          </w:rPr>
          <w:t>98 cm</w:t>
        </w:r>
      </w:smartTag>
      <w:r w:rsidRPr="001038F2">
        <w:rPr>
          <w:sz w:val="22"/>
          <w:szCs w:val="22"/>
          <w:lang w:val="es-ES_tradnl"/>
        </w:rPr>
        <w:t xml:space="preserve"> +; pardo (7,5YR 5/4) en húmedo; franco-limoso; masivo; friable en húmedo;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de hasta </w:t>
      </w:r>
      <w:smartTag w:uri="urn:schemas-microsoft-com:office:smarttags" w:element="metricconverter">
        <w:smartTagPr>
          <w:attr w:name="ProductID" w:val="1 mm"/>
        </w:smartTagPr>
        <w:r w:rsidRPr="001038F2">
          <w:rPr>
            <w:sz w:val="22"/>
            <w:szCs w:val="22"/>
            <w:lang w:val="es-ES_tradnl"/>
          </w:rPr>
          <w:t>1 mm</w:t>
        </w:r>
      </w:smartTag>
      <w:r w:rsidRPr="001038F2">
        <w:rPr>
          <w:sz w:val="22"/>
          <w:szCs w:val="22"/>
          <w:lang w:val="es-ES_tradnl"/>
        </w:rPr>
        <w:t xml:space="preserve">, escasas, moteados de hierro-manganeso escasos, </w:t>
      </w:r>
      <w:r w:rsidRPr="001038F2">
        <w:rPr>
          <w:sz w:val="22"/>
          <w:szCs w:val="22"/>
          <w:lang w:val="es-ES_tradnl"/>
        </w:rPr>
        <w:lastRenderedPageBreak/>
        <w:t>finos, débiles.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  <w:lang w:val="es-ES_tradnl"/>
        </w:rPr>
      </w:pPr>
      <w:r w:rsidRPr="001038F2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sz w:val="22"/>
          <w:szCs w:val="22"/>
          <w:lang w:val="es-ES_tradnl"/>
        </w:rPr>
        <w:t xml:space="preserve">El </w:t>
      </w:r>
      <w:proofErr w:type="spellStart"/>
      <w:r w:rsidRPr="001038F2">
        <w:rPr>
          <w:sz w:val="22"/>
          <w:szCs w:val="22"/>
          <w:lang w:val="es-ES_tradnl"/>
        </w:rPr>
        <w:t>solum</w:t>
      </w:r>
      <w:proofErr w:type="spellEnd"/>
      <w:r w:rsidRPr="001038F2">
        <w:rPr>
          <w:sz w:val="22"/>
          <w:szCs w:val="22"/>
          <w:lang w:val="es-ES_tradnl"/>
        </w:rPr>
        <w:t xml:space="preserve"> varía de 85-</w:t>
      </w:r>
      <w:smartTag w:uri="urn:schemas-microsoft-com:office:smarttags" w:element="metricconverter">
        <w:smartTagPr>
          <w:attr w:name="ProductID" w:val="115 cm"/>
        </w:smartTagPr>
        <w:r w:rsidRPr="001038F2">
          <w:rPr>
            <w:sz w:val="22"/>
            <w:szCs w:val="22"/>
            <w:lang w:val="es-ES_tradnl"/>
          </w:rPr>
          <w:t>115 cm</w:t>
        </w:r>
      </w:smartTag>
      <w:r w:rsidRPr="001038F2">
        <w:rPr>
          <w:sz w:val="22"/>
          <w:szCs w:val="22"/>
          <w:lang w:val="es-ES_tradnl"/>
        </w:rPr>
        <w:t xml:space="preserve"> de profundidad. El </w:t>
      </w:r>
      <w:proofErr w:type="spellStart"/>
      <w:r w:rsidRPr="001038F2">
        <w:rPr>
          <w:sz w:val="22"/>
          <w:szCs w:val="22"/>
          <w:lang w:val="es-ES_tradnl"/>
        </w:rPr>
        <w:t>epipedón</w:t>
      </w:r>
      <w:proofErr w:type="spellEnd"/>
      <w:r w:rsidRPr="001038F2">
        <w:rPr>
          <w:sz w:val="22"/>
          <w:szCs w:val="22"/>
          <w:lang w:val="es-ES_tradnl"/>
        </w:rPr>
        <w:t xml:space="preserve"> </w:t>
      </w:r>
      <w:proofErr w:type="spellStart"/>
      <w:r w:rsidRPr="001038F2">
        <w:rPr>
          <w:sz w:val="22"/>
          <w:szCs w:val="22"/>
          <w:lang w:val="es-ES_tradnl"/>
        </w:rPr>
        <w:t>mólico</w:t>
      </w:r>
      <w:proofErr w:type="spellEnd"/>
      <w:r w:rsidRPr="001038F2">
        <w:rPr>
          <w:sz w:val="22"/>
          <w:szCs w:val="22"/>
          <w:lang w:val="es-ES_tradnl"/>
        </w:rPr>
        <w:t xml:space="preserve"> incluye los horizontes A11 y A12 </w:t>
      </w:r>
      <w:proofErr w:type="spellStart"/>
      <w:r w:rsidRPr="001038F2">
        <w:rPr>
          <w:sz w:val="22"/>
          <w:szCs w:val="22"/>
          <w:lang w:val="es-ES_tradnl"/>
        </w:rPr>
        <w:t>ó</w:t>
      </w:r>
      <w:proofErr w:type="spellEnd"/>
      <w:r w:rsidRPr="001038F2">
        <w:rPr>
          <w:sz w:val="22"/>
          <w:szCs w:val="22"/>
          <w:lang w:val="es-ES_tradnl"/>
        </w:rPr>
        <w:t xml:space="preserve"> A1 y B1 y varía de 18-</w:t>
      </w:r>
      <w:smartTag w:uri="urn:schemas-microsoft-com:office:smarttags" w:element="metricconverter">
        <w:smartTagPr>
          <w:attr w:name="ProductID" w:val="35 cm"/>
        </w:smartTagPr>
        <w:r w:rsidRPr="001038F2">
          <w:rPr>
            <w:sz w:val="22"/>
            <w:szCs w:val="22"/>
            <w:lang w:val="es-ES_tradnl"/>
          </w:rPr>
          <w:t>35 cm</w:t>
        </w:r>
      </w:smartTag>
      <w:r w:rsidRPr="001038F2">
        <w:rPr>
          <w:sz w:val="22"/>
          <w:szCs w:val="22"/>
          <w:lang w:val="es-ES_tradnl"/>
        </w:rPr>
        <w:t xml:space="preserve">. Tiene estructura en bloques. El </w:t>
      </w:r>
      <w:proofErr w:type="spellStart"/>
      <w:r w:rsidRPr="001038F2">
        <w:rPr>
          <w:sz w:val="22"/>
          <w:szCs w:val="22"/>
          <w:lang w:val="es-ES_tradnl"/>
        </w:rPr>
        <w:t>epipedón</w:t>
      </w:r>
      <w:proofErr w:type="spellEnd"/>
      <w:r w:rsidRPr="001038F2">
        <w:rPr>
          <w:sz w:val="22"/>
          <w:szCs w:val="22"/>
          <w:lang w:val="es-ES_tradnl"/>
        </w:rPr>
        <w:t xml:space="preserve"> tiene entre 17-21% de arcilla, entre 23-32% de arena (predominan las finas y medias) y entre 3-4% de materia orgánica. El horizonte </w:t>
      </w:r>
      <w:proofErr w:type="spellStart"/>
      <w:r w:rsidRPr="001038F2">
        <w:rPr>
          <w:sz w:val="22"/>
          <w:szCs w:val="22"/>
          <w:lang w:val="es-ES_tradnl"/>
        </w:rPr>
        <w:t>argílico</w:t>
      </w:r>
      <w:proofErr w:type="spellEnd"/>
      <w:r w:rsidRPr="001038F2">
        <w:rPr>
          <w:sz w:val="22"/>
          <w:szCs w:val="22"/>
          <w:lang w:val="es-ES_tradnl"/>
        </w:rPr>
        <w:t xml:space="preserve"> tiene de 30-</w:t>
      </w:r>
      <w:smartTag w:uri="urn:schemas-microsoft-com:office:smarttags" w:element="metricconverter">
        <w:smartTagPr>
          <w:attr w:name="ProductID" w:val="40 cm"/>
        </w:smartTagPr>
        <w:r w:rsidRPr="001038F2">
          <w:rPr>
            <w:sz w:val="22"/>
            <w:szCs w:val="22"/>
            <w:lang w:val="es-ES_tradnl"/>
          </w:rPr>
          <w:t>40 cm</w:t>
        </w:r>
      </w:smartTag>
      <w:r w:rsidRPr="001038F2">
        <w:rPr>
          <w:sz w:val="22"/>
          <w:szCs w:val="22"/>
          <w:lang w:val="es-ES_tradnl"/>
        </w:rPr>
        <w:t xml:space="preserve"> de espesor y, en muchos casos, un límite superior casi abrupto. Su porcentaje de arcilla varía de 28-36% y tiene menos arena en el </w:t>
      </w:r>
      <w:proofErr w:type="spellStart"/>
      <w:r w:rsidRPr="001038F2">
        <w:rPr>
          <w:sz w:val="22"/>
          <w:szCs w:val="22"/>
          <w:lang w:val="es-ES_tradnl"/>
        </w:rPr>
        <w:t>epipedón</w:t>
      </w:r>
      <w:proofErr w:type="spellEnd"/>
      <w:r w:rsidRPr="001038F2">
        <w:rPr>
          <w:sz w:val="22"/>
          <w:szCs w:val="22"/>
          <w:lang w:val="es-ES_tradnl"/>
        </w:rPr>
        <w:t xml:space="preserve"> (17-23%). Generalmente posee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y pocas caras de fricción no intersectadas. El calcáreo aparece entre 50-</w:t>
      </w:r>
      <w:smartTag w:uri="urn:schemas-microsoft-com:office:smarttags" w:element="metricconverter">
        <w:smartTagPr>
          <w:attr w:name="ProductID" w:val="70 cm"/>
        </w:smartTagPr>
        <w:r w:rsidRPr="001038F2">
          <w:rPr>
            <w:sz w:val="22"/>
            <w:szCs w:val="22"/>
            <w:lang w:val="es-ES_tradnl"/>
          </w:rPr>
          <w:t>70 cm</w:t>
        </w:r>
      </w:smartTag>
      <w:r w:rsidRPr="001038F2">
        <w:rPr>
          <w:sz w:val="22"/>
          <w:szCs w:val="22"/>
          <w:lang w:val="es-ES_tradnl"/>
        </w:rPr>
        <w:t xml:space="preserve"> y son casi siempre pocas; en algunos casos (como en el perfil tipo) pueden faltar en el C. Son suelos desarrollados en materiales franco-limosos, con 23-27% de arcilla y 15-20% de arena (menos que en el B2). En general, los moteados están presentes en todo el perfil, pero en el </w:t>
      </w:r>
      <w:proofErr w:type="spellStart"/>
      <w:r w:rsidRPr="001038F2">
        <w:rPr>
          <w:sz w:val="22"/>
          <w:szCs w:val="22"/>
          <w:lang w:val="es-ES_tradnl"/>
        </w:rPr>
        <w:t>epipedón</w:t>
      </w:r>
      <w:proofErr w:type="spellEnd"/>
      <w:r w:rsidRPr="001038F2">
        <w:rPr>
          <w:sz w:val="22"/>
          <w:szCs w:val="22"/>
          <w:lang w:val="es-ES_tradnl"/>
        </w:rPr>
        <w:t xml:space="preserve"> pueden ser escasos. Tanto estos como las concreciones </w:t>
      </w:r>
      <w:proofErr w:type="spellStart"/>
      <w:r w:rsidRPr="001038F2">
        <w:rPr>
          <w:sz w:val="22"/>
          <w:szCs w:val="22"/>
          <w:lang w:val="es-ES_tradnl"/>
        </w:rPr>
        <w:t>ferromanganesíferas</w:t>
      </w:r>
      <w:proofErr w:type="spellEnd"/>
      <w:r w:rsidRPr="001038F2">
        <w:rPr>
          <w:sz w:val="22"/>
          <w:szCs w:val="22"/>
          <w:lang w:val="es-ES_tradnl"/>
        </w:rPr>
        <w:t xml:space="preserve"> probablemente son fósiles y el drenaje actual es mucho mejor, lo que está indicado por las características del perfil. </w:t>
      </w:r>
    </w:p>
    <w:p w:rsid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  <w:lang w:val="es-ES_tradnl"/>
        </w:rPr>
      </w:pPr>
      <w:r w:rsidRPr="001038F2">
        <w:rPr>
          <w:b/>
          <w:bCs/>
          <w:sz w:val="22"/>
          <w:szCs w:val="22"/>
          <w:u w:val="single"/>
          <w:lang w:val="es-ES_tradnl"/>
        </w:rPr>
        <w:t>Fases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sz w:val="22"/>
          <w:szCs w:val="22"/>
          <w:lang w:val="es-ES_tradnl"/>
        </w:rPr>
        <w:t>No se han descripto a nivel de reconocimiento.</w:t>
      </w:r>
    </w:p>
    <w:p w:rsidR="001038F2" w:rsidRDefault="001038F2" w:rsidP="001038F2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_tradnl"/>
        </w:rPr>
      </w:pPr>
      <w:r w:rsidRPr="001038F2">
        <w:rPr>
          <w:b/>
          <w:bCs/>
          <w:sz w:val="22"/>
          <w:szCs w:val="22"/>
          <w:u w:val="single"/>
          <w:lang w:val="es-ES_tradnl"/>
        </w:rPr>
        <w:t>Drenaje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1038F2">
        <w:rPr>
          <w:sz w:val="22"/>
          <w:szCs w:val="22"/>
          <w:lang w:val="es-ES_tradnl"/>
        </w:rPr>
        <w:t>Moderadamente bien drenado. Escurrimiento superficial moderado. Capa freática moderadamente profunda. Grupo hidrológico C.</w:t>
      </w:r>
    </w:p>
    <w:p w:rsid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  <w:lang w:val="es-ES_tradnl"/>
        </w:rPr>
      </w:pPr>
      <w:r w:rsidRPr="001038F2">
        <w:rPr>
          <w:b/>
          <w:bCs/>
          <w:sz w:val="22"/>
          <w:szCs w:val="22"/>
          <w:u w:val="single"/>
          <w:lang w:val="es-ES_tradnl"/>
        </w:rPr>
        <w:t>Erosión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ind w:firstLine="10"/>
        <w:jc w:val="both"/>
        <w:rPr>
          <w:sz w:val="22"/>
          <w:szCs w:val="22"/>
          <w:lang w:val="es-ES_tradnl"/>
        </w:rPr>
      </w:pPr>
      <w:r w:rsidRPr="001038F2">
        <w:rPr>
          <w:sz w:val="22"/>
          <w:szCs w:val="22"/>
          <w:lang w:val="es-ES_tradnl"/>
        </w:rPr>
        <w:t>La serie Tacuaras no tiene erosión actual, y la susceptibilidad a la misma es leve, especialmente en áreas con uso agrícola.</w:t>
      </w:r>
    </w:p>
    <w:p w:rsidR="001038F2" w:rsidRPr="001038F2" w:rsidRDefault="001038F2" w:rsidP="001038F2">
      <w:pPr>
        <w:widowControl w:val="0"/>
        <w:tabs>
          <w:tab w:val="left" w:pos="4535"/>
        </w:tabs>
        <w:autoSpaceDE w:val="0"/>
        <w:autoSpaceDN w:val="0"/>
        <w:adjustRightInd w:val="0"/>
        <w:rPr>
          <w:sz w:val="22"/>
          <w:szCs w:val="22"/>
          <w:lang w:val="es-ES_tradnl"/>
        </w:rPr>
      </w:pPr>
      <w:r w:rsidRPr="001038F2">
        <w:rPr>
          <w:sz w:val="22"/>
          <w:szCs w:val="22"/>
          <w:lang w:val="es-ES_tradnl"/>
        </w:rPr>
        <w:tab/>
      </w:r>
    </w:p>
    <w:p w:rsidR="001038F2" w:rsidRPr="001038F2" w:rsidRDefault="001038F2" w:rsidP="001038F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1038F2">
        <w:rPr>
          <w:b/>
          <w:bCs/>
          <w:i/>
          <w:iCs/>
          <w:sz w:val="22"/>
          <w:szCs w:val="22"/>
          <w:lang w:val="es-ES_tradnl"/>
        </w:rPr>
        <w:br w:type="page"/>
      </w:r>
      <w:r w:rsidRPr="001038F2">
        <w:rPr>
          <w:b/>
          <w:b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1038F2">
        <w:rPr>
          <w:b/>
          <w:bCs/>
          <w:sz w:val="22"/>
          <w:szCs w:val="22"/>
          <w:u w:val="single"/>
          <w:lang w:val="es-ES_tradnl"/>
        </w:rPr>
        <w:t>Serie Tacuaras</w:t>
      </w:r>
    </w:p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43"/>
        <w:gridCol w:w="783"/>
        <w:gridCol w:w="783"/>
        <w:gridCol w:w="783"/>
        <w:gridCol w:w="783"/>
        <w:gridCol w:w="783"/>
        <w:gridCol w:w="983"/>
      </w:tblGrid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ER2-</w:t>
            </w:r>
            <w:smartTag w:uri="urn:schemas-microsoft-com:office:smarttags" w:element="metricconverter">
              <w:smartTagPr>
                <w:attr w:name="ProductID" w:val="26C"/>
              </w:smartTagPr>
              <w:r w:rsidRPr="001038F2">
                <w:rPr>
                  <w:sz w:val="22"/>
                  <w:szCs w:val="22"/>
                  <w:lang w:val="es-ES_tradnl"/>
                </w:rPr>
                <w:t>26C</w:t>
              </w:r>
            </w:smartTag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506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507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508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509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510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511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proofErr w:type="spellStart"/>
            <w:r w:rsidRPr="001038F2">
              <w:rPr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proofErr w:type="spellStart"/>
            <w:r w:rsidRPr="001038F2">
              <w:rPr>
                <w:sz w:val="22"/>
                <w:szCs w:val="22"/>
                <w:lang w:val="fr-FR"/>
              </w:rPr>
              <w:t>Ap</w:t>
            </w:r>
            <w:proofErr w:type="spellEnd"/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A12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B1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B22t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B3ca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C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00-14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14-28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32-43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50-62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80-90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100-125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 xml:space="preserve">Mat. </w:t>
            </w:r>
            <w:proofErr w:type="spellStart"/>
            <w:r w:rsidRPr="001038F2">
              <w:rPr>
                <w:sz w:val="22"/>
                <w:szCs w:val="22"/>
                <w:lang w:val="fr-FR"/>
              </w:rPr>
              <w:t>orgánica</w:t>
            </w:r>
            <w:proofErr w:type="spellEnd"/>
            <w:r w:rsidRPr="001038F2">
              <w:rPr>
                <w:sz w:val="22"/>
                <w:szCs w:val="22"/>
                <w:lang w:val="fr-FR"/>
              </w:rPr>
              <w:t xml:space="preserve"> (%)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3.0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2.8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1.4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1.2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0.5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0.3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N (%)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0.21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0.17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0.10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0.07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0.06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0.03</w:t>
            </w:r>
          </w:p>
        </w:tc>
      </w:tr>
      <w:tr w:rsidR="001038F2" w:rsidRPr="001038F2" w:rsidTr="001038F2">
        <w:tc>
          <w:tcPr>
            <w:tcW w:w="264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C/N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11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11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5</w:t>
            </w:r>
          </w:p>
        </w:tc>
      </w:tr>
      <w:tr w:rsidR="001038F2" w:rsidRPr="001038F2" w:rsidTr="001038F2">
        <w:tc>
          <w:tcPr>
            <w:tcW w:w="264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 xml:space="preserve">T         </w:t>
            </w:r>
            <w:r>
              <w:rPr>
                <w:sz w:val="22"/>
                <w:szCs w:val="22"/>
                <w:lang w:val="fr-FR"/>
              </w:rPr>
              <w:t xml:space="preserve">        </w:t>
            </w:r>
            <w:r w:rsidRPr="001038F2">
              <w:rPr>
                <w:sz w:val="22"/>
                <w:szCs w:val="22"/>
                <w:lang w:val="fr-FR"/>
              </w:rPr>
              <w:t xml:space="preserve">&lt; 2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18.2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18.0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28.1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32.0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33.2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23.9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 xml:space="preserve">E      </w:t>
            </w:r>
            <w:r>
              <w:rPr>
                <w:sz w:val="22"/>
                <w:szCs w:val="22"/>
                <w:lang w:val="fr-FR"/>
              </w:rPr>
              <w:t xml:space="preserve">         </w:t>
            </w:r>
            <w:r w:rsidRPr="001038F2">
              <w:rPr>
                <w:sz w:val="22"/>
                <w:szCs w:val="22"/>
                <w:lang w:val="fr-FR"/>
              </w:rPr>
              <w:t xml:space="preserve">2-20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22.2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21.2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20.9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21.1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20.4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25.2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 xml:space="preserve">X      </w:t>
            </w:r>
            <w:r>
              <w:rPr>
                <w:sz w:val="22"/>
                <w:szCs w:val="22"/>
                <w:lang w:val="fr-FR"/>
              </w:rPr>
              <w:t xml:space="preserve">        </w:t>
            </w:r>
            <w:r w:rsidRPr="001038F2">
              <w:rPr>
                <w:sz w:val="22"/>
                <w:szCs w:val="22"/>
                <w:lang w:val="fr-FR"/>
              </w:rPr>
              <w:t xml:space="preserve">2-50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54.6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54.4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52.1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49.9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51.7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fr-FR"/>
              </w:rPr>
            </w:pPr>
            <w:r w:rsidRPr="001038F2">
              <w:rPr>
                <w:sz w:val="22"/>
                <w:szCs w:val="22"/>
                <w:lang w:val="fr-FR"/>
              </w:rPr>
              <w:t>60.8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 xml:space="preserve">T     </w:t>
            </w:r>
            <w:r>
              <w:rPr>
                <w:sz w:val="22"/>
                <w:szCs w:val="22"/>
              </w:rPr>
              <w:t xml:space="preserve">      </w:t>
            </w:r>
            <w:r w:rsidRPr="001038F2">
              <w:rPr>
                <w:sz w:val="22"/>
                <w:szCs w:val="22"/>
              </w:rPr>
              <w:t>50-100</w:t>
            </w:r>
            <w:r w:rsidRPr="001038F2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2.3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2.5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1.8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1.8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1.4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1.9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 xml:space="preserve">U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1038F2">
              <w:rPr>
                <w:sz w:val="22"/>
                <w:szCs w:val="22"/>
                <w:lang w:val="es-ES_tradnl"/>
              </w:rPr>
              <w:t>100-250</w:t>
            </w:r>
            <w:r w:rsidRPr="001038F2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14.4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15.9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11.2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10.0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8.6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1038F2">
              <w:rPr>
                <w:sz w:val="22"/>
                <w:szCs w:val="22"/>
                <w:lang w:val="es-ES_tradnl"/>
              </w:rPr>
              <w:t>250-500</w:t>
            </w:r>
            <w:r w:rsidRPr="001038F2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10.2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4.6</w:t>
            </w:r>
          </w:p>
        </w:tc>
      </w:tr>
      <w:tr w:rsidR="001038F2" w:rsidRPr="001038F2" w:rsidTr="001038F2">
        <w:tc>
          <w:tcPr>
            <w:tcW w:w="264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 xml:space="preserve">A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1038F2">
              <w:rPr>
                <w:sz w:val="22"/>
                <w:szCs w:val="22"/>
                <w:lang w:val="es-ES_tradnl"/>
              </w:rPr>
              <w:t xml:space="preserve"> 500-1000</w:t>
            </w:r>
            <w:r w:rsidRPr="001038F2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1038F2" w:rsidRPr="001038F2" w:rsidTr="001038F2">
        <w:tc>
          <w:tcPr>
            <w:tcW w:w="264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1038F2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6.3</w:t>
            </w:r>
          </w:p>
        </w:tc>
      </w:tr>
      <w:tr w:rsidR="001038F2" w:rsidRPr="001038F2" w:rsidTr="001038F2">
        <w:trPr>
          <w:trHeight w:val="1152"/>
        </w:trPr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Capacidad de intercambio</w:t>
            </w: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1038F2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1038F2">
              <w:rPr>
                <w:sz w:val="22"/>
                <w:szCs w:val="22"/>
                <w:lang w:val="es-ES_tradnl"/>
              </w:rPr>
              <w:t>/100 g) =</w:t>
            </w: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valor T</w:t>
            </w: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</w:rPr>
              <w:t>20.0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</w:rPr>
              <w:t>19.2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</w:rPr>
              <w:t>28.0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</w:rPr>
              <w:t>28.2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</w:rPr>
              <w:t>25.0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</w:rPr>
              <w:t>24.6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</w:rPr>
              <w:t xml:space="preserve">   </w:t>
            </w:r>
            <w:r w:rsidRPr="001038F2">
              <w:rPr>
                <w:sz w:val="22"/>
                <w:szCs w:val="22"/>
                <w:lang w:val="it-IT"/>
              </w:rPr>
              <w:t>d     Ca++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12.0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12.4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19.8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22.4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19.2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C  e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a        Mg++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2.0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2.2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2.7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2.3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3.3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t  c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i  a     K+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1.3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1.3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o  m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n  b     Na+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0.2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0.3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0.4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0.4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it-IT"/>
              </w:rPr>
            </w:pPr>
            <w:r w:rsidRPr="001038F2">
              <w:rPr>
                <w:sz w:val="22"/>
                <w:szCs w:val="22"/>
                <w:lang w:val="it-IT"/>
              </w:rPr>
              <w:t>e  i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s  o     H+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5.8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4.9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3.9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2.9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-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038F2">
              <w:rPr>
                <w:sz w:val="22"/>
                <w:szCs w:val="22"/>
              </w:rPr>
              <w:t>1.0</w:t>
            </w:r>
          </w:p>
        </w:tc>
      </w:tr>
      <w:tr w:rsidR="001038F2" w:rsidRPr="001038F2" w:rsidTr="001038F2">
        <w:tc>
          <w:tcPr>
            <w:tcW w:w="264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1038F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038F2">
              <w:rPr>
                <w:sz w:val="22"/>
                <w:szCs w:val="22"/>
                <w:lang w:val="es-ES_tradnl"/>
              </w:rPr>
              <w:t>/T</w:t>
            </w:r>
          </w:p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038F2" w:rsidRPr="001038F2" w:rsidTr="001038F2">
        <w:tc>
          <w:tcPr>
            <w:tcW w:w="264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20.7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20.6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30.0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32.7</w:t>
            </w:r>
          </w:p>
        </w:tc>
        <w:tc>
          <w:tcPr>
            <w:tcW w:w="7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33.2</w:t>
            </w:r>
          </w:p>
        </w:tc>
        <w:tc>
          <w:tcPr>
            <w:tcW w:w="983" w:type="dxa"/>
          </w:tcPr>
          <w:p w:rsidR="001038F2" w:rsidRPr="001038F2" w:rsidRDefault="001038F2" w:rsidP="001038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_tradnl"/>
              </w:rPr>
            </w:pPr>
            <w:r w:rsidRPr="001038F2">
              <w:rPr>
                <w:sz w:val="22"/>
                <w:szCs w:val="22"/>
                <w:lang w:val="es-ES_tradnl"/>
              </w:rPr>
              <w:t>29.3</w:t>
            </w:r>
          </w:p>
        </w:tc>
      </w:tr>
    </w:tbl>
    <w:p w:rsidR="001038F2" w:rsidRPr="001038F2" w:rsidRDefault="001038F2" w:rsidP="001038F2">
      <w:pPr>
        <w:widowControl w:val="0"/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117C6E" w:rsidRPr="001038F2" w:rsidRDefault="00117C6E" w:rsidP="001038F2">
      <w:pPr>
        <w:rPr>
          <w:sz w:val="22"/>
          <w:szCs w:val="22"/>
        </w:rPr>
      </w:pPr>
    </w:p>
    <w:sectPr w:rsidR="00117C6E" w:rsidRPr="001038F2" w:rsidSect="001038F2">
      <w:pgSz w:w="12240" w:h="15840"/>
      <w:pgMar w:top="1418" w:right="1701" w:bottom="1418" w:left="1701" w:header="720" w:footer="535" w:gutter="0"/>
      <w:cols w:space="720"/>
      <w:noEndnote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B7" w:rsidRDefault="00E64BB7" w:rsidP="001038F2">
      <w:r>
        <w:separator/>
      </w:r>
    </w:p>
  </w:endnote>
  <w:endnote w:type="continuationSeparator" w:id="0">
    <w:p w:rsidR="00E64BB7" w:rsidRDefault="00E64BB7" w:rsidP="0010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B7" w:rsidRDefault="00E64BB7" w:rsidP="001038F2">
      <w:r>
        <w:separator/>
      </w:r>
    </w:p>
  </w:footnote>
  <w:footnote w:type="continuationSeparator" w:id="0">
    <w:p w:rsidR="00E64BB7" w:rsidRDefault="00E64BB7" w:rsidP="00103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F2"/>
    <w:rsid w:val="001038F2"/>
    <w:rsid w:val="00117C6E"/>
    <w:rsid w:val="00E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03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8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03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8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1038F2"/>
    <w:rPr>
      <w:rFonts w:cs="Times New Roman"/>
    </w:rPr>
  </w:style>
  <w:style w:type="table" w:styleId="Tablaconcuadrcula">
    <w:name w:val="Table Grid"/>
    <w:basedOn w:val="Tablanormal"/>
    <w:uiPriority w:val="99"/>
    <w:rsid w:val="00103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03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8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03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8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1038F2"/>
    <w:rPr>
      <w:rFonts w:cs="Times New Roman"/>
    </w:rPr>
  </w:style>
  <w:style w:type="table" w:styleId="Tablaconcuadrcula">
    <w:name w:val="Table Grid"/>
    <w:basedOn w:val="Tablanormal"/>
    <w:uiPriority w:val="99"/>
    <w:rsid w:val="00103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2014-02-10T11:05:00Z</dcterms:created>
  <dcterms:modified xsi:type="dcterms:W3CDTF">2014-02-10T11:12:00Z</dcterms:modified>
</cp:coreProperties>
</file>