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F4" w:rsidRPr="00B332F4" w:rsidRDefault="00B332F4" w:rsidP="00B332F4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B332F4" w:rsidRPr="00B332F4" w:rsidRDefault="00B332F4" w:rsidP="00B332F4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B332F4">
        <w:rPr>
          <w:b/>
          <w:sz w:val="24"/>
          <w:szCs w:val="24"/>
        </w:rPr>
        <w:t xml:space="preserve">SERIE URQUIZA                                                                                            </w:t>
      </w:r>
      <w:r w:rsidRPr="00B332F4">
        <w:rPr>
          <w:sz w:val="24"/>
          <w:szCs w:val="24"/>
        </w:rPr>
        <w:t xml:space="preserve">Símbolo: </w:t>
      </w:r>
      <w:proofErr w:type="spellStart"/>
      <w:r w:rsidRPr="00B332F4">
        <w:rPr>
          <w:b/>
          <w:bCs/>
          <w:sz w:val="24"/>
          <w:szCs w:val="24"/>
        </w:rPr>
        <w:t>Urq</w:t>
      </w:r>
      <w:proofErr w:type="spellEnd"/>
    </w:p>
    <w:p w:rsidR="00B332F4" w:rsidRPr="00B332F4" w:rsidRDefault="00B332F4" w:rsidP="00B332F4">
      <w:pPr>
        <w:tabs>
          <w:tab w:val="left" w:pos="9071"/>
        </w:tabs>
        <w:rPr>
          <w:sz w:val="22"/>
          <w:szCs w:val="22"/>
        </w:rPr>
      </w:pPr>
    </w:p>
    <w:p w:rsidR="00B332F4" w:rsidRPr="00B332F4" w:rsidRDefault="00B332F4" w:rsidP="00B332F4">
      <w:pPr>
        <w:tabs>
          <w:tab w:val="left" w:pos="9071"/>
        </w:tabs>
        <w:rPr>
          <w:sz w:val="22"/>
          <w:szCs w:val="22"/>
        </w:rPr>
      </w:pPr>
    </w:p>
    <w:p w:rsidR="00B332F4" w:rsidRPr="00B332F4" w:rsidRDefault="00B332F4" w:rsidP="00B332F4">
      <w:pPr>
        <w:jc w:val="both"/>
        <w:rPr>
          <w:sz w:val="22"/>
          <w:szCs w:val="22"/>
        </w:rPr>
      </w:pPr>
      <w:r w:rsidRPr="00B332F4">
        <w:rPr>
          <w:sz w:val="22"/>
          <w:szCs w:val="22"/>
        </w:rPr>
        <w:t xml:space="preserve">Pertenece a la familia "fina, </w:t>
      </w:r>
      <w:proofErr w:type="spellStart"/>
      <w:r w:rsidRPr="00B332F4">
        <w:rPr>
          <w:sz w:val="22"/>
          <w:szCs w:val="22"/>
        </w:rPr>
        <w:t>montmorillonítica</w:t>
      </w:r>
      <w:proofErr w:type="spellEnd"/>
      <w:r w:rsidRPr="00B332F4">
        <w:rPr>
          <w:sz w:val="22"/>
          <w:szCs w:val="22"/>
        </w:rPr>
        <w:t xml:space="preserve">, neutra, térmica" de los </w:t>
      </w:r>
      <w:proofErr w:type="spellStart"/>
      <w:r w:rsidRPr="00B332F4">
        <w:rPr>
          <w:sz w:val="22"/>
          <w:szCs w:val="22"/>
          <w:u w:val="single"/>
        </w:rPr>
        <w:t>Peludertes</w:t>
      </w:r>
      <w:proofErr w:type="spellEnd"/>
      <w:r w:rsidRPr="00B332F4">
        <w:rPr>
          <w:sz w:val="22"/>
          <w:szCs w:val="22"/>
          <w:u w:val="single"/>
        </w:rPr>
        <w:t xml:space="preserve"> </w:t>
      </w:r>
      <w:proofErr w:type="spellStart"/>
      <w:r w:rsidRPr="00B332F4">
        <w:rPr>
          <w:sz w:val="22"/>
          <w:szCs w:val="22"/>
          <w:u w:val="single"/>
        </w:rPr>
        <w:t>argiacuólicos</w:t>
      </w:r>
      <w:proofErr w:type="spellEnd"/>
      <w:r w:rsidRPr="00B332F4">
        <w:rPr>
          <w:sz w:val="22"/>
          <w:szCs w:val="22"/>
        </w:rPr>
        <w:t>. Son suelos profundos, con perfiles uniformes arcillosos aún desde superficie.</w:t>
      </w:r>
    </w:p>
    <w:p w:rsidR="00B332F4" w:rsidRPr="00B332F4" w:rsidRDefault="00B332F4" w:rsidP="00B332F4">
      <w:pPr>
        <w:ind w:firstLine="720"/>
        <w:jc w:val="both"/>
        <w:rPr>
          <w:sz w:val="22"/>
          <w:szCs w:val="22"/>
        </w:rPr>
      </w:pPr>
    </w:p>
    <w:p w:rsidR="00B332F4" w:rsidRPr="00B332F4" w:rsidRDefault="00B332F4" w:rsidP="00B332F4">
      <w:pPr>
        <w:jc w:val="both"/>
        <w:rPr>
          <w:sz w:val="22"/>
          <w:szCs w:val="22"/>
        </w:rPr>
      </w:pPr>
      <w:r w:rsidRPr="00B332F4">
        <w:rPr>
          <w:sz w:val="22"/>
          <w:szCs w:val="22"/>
        </w:rPr>
        <w:t xml:space="preserve">Muestra </w:t>
      </w:r>
      <w:proofErr w:type="spellStart"/>
      <w:r w:rsidRPr="00B332F4">
        <w:rPr>
          <w:sz w:val="22"/>
          <w:szCs w:val="22"/>
        </w:rPr>
        <w:t>gilgai</w:t>
      </w:r>
      <w:proofErr w:type="spellEnd"/>
      <w:r w:rsidRPr="00B332F4">
        <w:rPr>
          <w:sz w:val="22"/>
          <w:szCs w:val="22"/>
        </w:rPr>
        <w:t xml:space="preserve"> lineal muy poco visible en el terreno y tenue en la fotografía aérea. De color negro desde superficie y chorreaduras rellenas de material superior, hasta el metro de profundidad.</w:t>
      </w:r>
    </w:p>
    <w:p w:rsidR="00B332F4" w:rsidRPr="00B332F4" w:rsidRDefault="00B332F4" w:rsidP="00B332F4">
      <w:pPr>
        <w:pStyle w:val="Textoindependiente2"/>
        <w:rPr>
          <w:sz w:val="22"/>
          <w:szCs w:val="22"/>
        </w:rPr>
      </w:pPr>
    </w:p>
    <w:p w:rsidR="00B332F4" w:rsidRPr="00B332F4" w:rsidRDefault="00B332F4" w:rsidP="00B332F4">
      <w:pPr>
        <w:pStyle w:val="Textoindependiente2"/>
        <w:ind w:firstLine="0"/>
        <w:rPr>
          <w:sz w:val="22"/>
          <w:szCs w:val="22"/>
        </w:rPr>
      </w:pPr>
      <w:r w:rsidRPr="00B332F4">
        <w:rPr>
          <w:sz w:val="22"/>
          <w:szCs w:val="22"/>
        </w:rPr>
        <w:t xml:space="preserve">En el horizonte C se pueden observar algunas gravillas. 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rPr>
          <w:b/>
          <w:sz w:val="22"/>
          <w:szCs w:val="22"/>
        </w:rPr>
      </w:pPr>
      <w:r w:rsidRPr="00B332F4">
        <w:rPr>
          <w:b/>
          <w:sz w:val="22"/>
          <w:szCs w:val="22"/>
          <w:u w:val="single"/>
        </w:rPr>
        <w:t>Perfil tipo</w:t>
      </w:r>
      <w:r w:rsidRPr="00B332F4">
        <w:rPr>
          <w:b/>
          <w:sz w:val="22"/>
          <w:szCs w:val="22"/>
        </w:rPr>
        <w:t xml:space="preserve">: </w:t>
      </w:r>
      <w:r w:rsidRPr="00B332F4">
        <w:rPr>
          <w:sz w:val="22"/>
          <w:szCs w:val="22"/>
        </w:rPr>
        <w:t>ER7-146C</w:t>
      </w:r>
    </w:p>
    <w:p w:rsidR="00B332F4" w:rsidRPr="00B332F4" w:rsidRDefault="00B332F4" w:rsidP="00B332F4">
      <w:pPr>
        <w:rPr>
          <w:color w:val="000000"/>
          <w:sz w:val="22"/>
          <w:szCs w:val="22"/>
        </w:rPr>
      </w:pPr>
      <w:r w:rsidRPr="00B332F4">
        <w:rPr>
          <w:b/>
          <w:color w:val="000000"/>
          <w:sz w:val="22"/>
          <w:szCs w:val="22"/>
        </w:rPr>
        <w:t>Fecha</w:t>
      </w:r>
      <w:r w:rsidRPr="00B332F4">
        <w:rPr>
          <w:bCs/>
          <w:color w:val="000000"/>
          <w:sz w:val="22"/>
          <w:szCs w:val="22"/>
        </w:rPr>
        <w:t>: 08-V-2003</w:t>
      </w:r>
      <w:r w:rsidRPr="00B332F4">
        <w:rPr>
          <w:color w:val="000000"/>
          <w:sz w:val="22"/>
          <w:szCs w:val="22"/>
        </w:rPr>
        <w:t>.</w:t>
      </w:r>
    </w:p>
    <w:p w:rsidR="00B332F4" w:rsidRPr="00B332F4" w:rsidRDefault="00B332F4" w:rsidP="00B332F4">
      <w:pPr>
        <w:rPr>
          <w:bCs/>
          <w:color w:val="000000"/>
          <w:sz w:val="22"/>
          <w:szCs w:val="22"/>
        </w:rPr>
      </w:pPr>
      <w:r w:rsidRPr="00B332F4">
        <w:rPr>
          <w:b/>
          <w:color w:val="000000"/>
          <w:sz w:val="22"/>
          <w:szCs w:val="22"/>
        </w:rPr>
        <w:t xml:space="preserve">Ubicación: </w:t>
      </w:r>
      <w:r w:rsidRPr="00B332F4">
        <w:rPr>
          <w:bCs/>
          <w:color w:val="000000"/>
          <w:sz w:val="22"/>
          <w:szCs w:val="22"/>
        </w:rPr>
        <w:t xml:space="preserve">Colonia El Sauce, sobre  ruta nacional Nº 14 </w:t>
      </w:r>
      <w:r w:rsidRPr="00B332F4">
        <w:rPr>
          <w:sz w:val="22"/>
          <w:szCs w:val="22"/>
        </w:rPr>
        <w:t>(foto IR120-14) - Dpto. Uruguay.</w:t>
      </w:r>
    </w:p>
    <w:p w:rsidR="00B332F4" w:rsidRPr="00B332F4" w:rsidRDefault="00B332F4" w:rsidP="00B332F4">
      <w:pPr>
        <w:rPr>
          <w:sz w:val="22"/>
          <w:szCs w:val="22"/>
        </w:rPr>
      </w:pPr>
      <w:r w:rsidRPr="00B332F4">
        <w:rPr>
          <w:b/>
          <w:sz w:val="22"/>
          <w:szCs w:val="22"/>
        </w:rPr>
        <w:t>Reconocedores:</w:t>
      </w:r>
      <w:r w:rsidRPr="00B332F4">
        <w:rPr>
          <w:sz w:val="22"/>
          <w:szCs w:val="22"/>
        </w:rPr>
        <w:t xml:space="preserve"> </w:t>
      </w:r>
      <w:proofErr w:type="spellStart"/>
      <w:r w:rsidRPr="00B332F4">
        <w:rPr>
          <w:sz w:val="22"/>
          <w:szCs w:val="22"/>
        </w:rPr>
        <w:t>H.A.Tasi</w:t>
      </w:r>
      <w:proofErr w:type="spellEnd"/>
      <w:r w:rsidRPr="00B332F4">
        <w:rPr>
          <w:sz w:val="22"/>
          <w:szCs w:val="22"/>
        </w:rPr>
        <w:t>; L.O. López</w:t>
      </w:r>
    </w:p>
    <w:p w:rsidR="00B332F4" w:rsidRPr="00B332F4" w:rsidRDefault="00B332F4" w:rsidP="00B332F4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B332F4">
        <w:rPr>
          <w:b/>
          <w:sz w:val="22"/>
          <w:szCs w:val="22"/>
        </w:rPr>
        <w:t>A1</w:t>
      </w:r>
      <w:r>
        <w:rPr>
          <w:b/>
          <w:sz w:val="22"/>
          <w:szCs w:val="22"/>
        </w:rPr>
        <w:t xml:space="preserve">: </w:t>
      </w:r>
      <w:r w:rsidRPr="00B332F4">
        <w:rPr>
          <w:bCs/>
          <w:sz w:val="22"/>
          <w:szCs w:val="22"/>
        </w:rPr>
        <w:t>0</w:t>
      </w:r>
      <w:r w:rsidRPr="00B332F4">
        <w:rPr>
          <w:sz w:val="22"/>
          <w:szCs w:val="22"/>
        </w:rPr>
        <w:t xml:space="preserve">0-20 cm. Negro (10 YR 2/1) en húmedo y negro también (10 YR 2/1) en seco; arcilloso; bloques </w:t>
      </w:r>
      <w:proofErr w:type="spellStart"/>
      <w:r w:rsidRPr="00B332F4">
        <w:rPr>
          <w:sz w:val="22"/>
          <w:szCs w:val="22"/>
        </w:rPr>
        <w:t>subangulares</w:t>
      </w:r>
      <w:proofErr w:type="spellEnd"/>
      <w:r w:rsidRPr="00B332F4">
        <w:rPr>
          <w:sz w:val="22"/>
          <w:szCs w:val="22"/>
        </w:rPr>
        <w:t xml:space="preserve"> finos, moderados; duro a muy duro en seco, muy firme en húmedo, muy plástico y adhesivo; abundantes raíces; pH 6,5; límite claro suave.</w:t>
      </w: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B332F4">
        <w:rPr>
          <w:b/>
          <w:sz w:val="22"/>
          <w:szCs w:val="22"/>
        </w:rPr>
        <w:t>B21</w:t>
      </w:r>
      <w:r>
        <w:rPr>
          <w:b/>
          <w:sz w:val="22"/>
          <w:szCs w:val="22"/>
        </w:rPr>
        <w:t xml:space="preserve">: </w:t>
      </w:r>
      <w:r w:rsidRPr="00B332F4">
        <w:rPr>
          <w:sz w:val="22"/>
          <w:szCs w:val="22"/>
        </w:rPr>
        <w:t>20-60 cm. Negro (10 YR 2/1) en húmedo y negro también (10 YR 2/1) en seco; arcilloso, bloques angulares, medios y finos; fuerte; con caras de fricción (</w:t>
      </w:r>
      <w:proofErr w:type="spellStart"/>
      <w:r w:rsidRPr="00B332F4">
        <w:rPr>
          <w:sz w:val="22"/>
          <w:szCs w:val="22"/>
        </w:rPr>
        <w:t>slickensides</w:t>
      </w:r>
      <w:proofErr w:type="spellEnd"/>
      <w:r w:rsidRPr="00B332F4">
        <w:rPr>
          <w:sz w:val="22"/>
          <w:szCs w:val="22"/>
        </w:rPr>
        <w:t xml:space="preserve">), pequeños, comunes; duro, muy firme, muy plástico y adhesivo, algunos </w:t>
      </w:r>
      <w:proofErr w:type="spellStart"/>
      <w:r w:rsidRPr="00B332F4">
        <w:rPr>
          <w:sz w:val="22"/>
          <w:szCs w:val="22"/>
        </w:rPr>
        <w:t>cutanes</w:t>
      </w:r>
      <w:proofErr w:type="spellEnd"/>
      <w:r w:rsidRPr="00B332F4">
        <w:rPr>
          <w:sz w:val="22"/>
          <w:szCs w:val="22"/>
        </w:rPr>
        <w:t>; raíces comunes; pH 7,0; límite gradual suave.</w:t>
      </w: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B332F4" w:rsidRPr="00B332F4" w:rsidRDefault="00B332F4" w:rsidP="00B332F4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B332F4">
        <w:rPr>
          <w:b/>
          <w:sz w:val="22"/>
          <w:szCs w:val="22"/>
        </w:rPr>
        <w:t>B22</w:t>
      </w:r>
      <w:r>
        <w:rPr>
          <w:b/>
          <w:sz w:val="22"/>
          <w:szCs w:val="22"/>
        </w:rPr>
        <w:t xml:space="preserve">: </w:t>
      </w:r>
      <w:r w:rsidRPr="00B332F4">
        <w:rPr>
          <w:sz w:val="22"/>
          <w:szCs w:val="22"/>
        </w:rPr>
        <w:t>60-95 cm. Negro (10 YR 2/1) en húmedo y gris muy oscuro (10 YR 3/1) en seco; arcilloso; bloques angulares medios rompiéndose a finos; fuerte, con muchas caras de fricción (</w:t>
      </w:r>
      <w:proofErr w:type="spellStart"/>
      <w:r w:rsidRPr="00B332F4">
        <w:rPr>
          <w:sz w:val="22"/>
          <w:szCs w:val="22"/>
        </w:rPr>
        <w:t>slickensides</w:t>
      </w:r>
      <w:proofErr w:type="spellEnd"/>
      <w:r w:rsidRPr="00B332F4">
        <w:rPr>
          <w:sz w:val="22"/>
          <w:szCs w:val="22"/>
        </w:rPr>
        <w:t xml:space="preserve">) y paralelepípedos; muchos </w:t>
      </w:r>
      <w:proofErr w:type="spellStart"/>
      <w:r w:rsidRPr="00B332F4">
        <w:rPr>
          <w:sz w:val="22"/>
          <w:szCs w:val="22"/>
        </w:rPr>
        <w:t>cutans</w:t>
      </w:r>
      <w:proofErr w:type="spellEnd"/>
      <w:r w:rsidRPr="00B332F4">
        <w:rPr>
          <w:sz w:val="22"/>
          <w:szCs w:val="22"/>
        </w:rPr>
        <w:t xml:space="preserve"> o caras de presión; concreciones de Ca escasas, finas y medianas; carbonato en la masa; raíces comunes</w:t>
      </w:r>
      <w:r>
        <w:rPr>
          <w:sz w:val="22"/>
          <w:szCs w:val="22"/>
        </w:rPr>
        <w:t xml:space="preserve"> </w:t>
      </w:r>
      <w:r w:rsidRPr="00B332F4">
        <w:rPr>
          <w:sz w:val="22"/>
          <w:szCs w:val="22"/>
        </w:rPr>
        <w:t>a escasas y finas; pH 7,9; límite gradual suave.</w:t>
      </w: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B332F4" w:rsidRPr="00B332F4" w:rsidRDefault="00B332F4" w:rsidP="00B332F4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B332F4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: </w:t>
      </w:r>
      <w:r w:rsidRPr="00B332F4">
        <w:rPr>
          <w:sz w:val="22"/>
          <w:szCs w:val="22"/>
        </w:rPr>
        <w:t>95-145 cm. Pardo (10 YR 5/3); arcilloso; moteados comunes pardos, oscuros medios; bloques angulares medios a gruesos, fuertes, con algunas caras de fricción (</w:t>
      </w:r>
      <w:proofErr w:type="spellStart"/>
      <w:r w:rsidRPr="00B332F4">
        <w:rPr>
          <w:sz w:val="22"/>
          <w:szCs w:val="22"/>
        </w:rPr>
        <w:t>slickensides</w:t>
      </w:r>
      <w:proofErr w:type="spellEnd"/>
      <w:r w:rsidRPr="00B332F4">
        <w:rPr>
          <w:sz w:val="22"/>
          <w:szCs w:val="22"/>
        </w:rPr>
        <w:t>) y caras de presión; concreciones de Ca pequeñas y muy grandes, comunes; la masa del suelo reacciona ampliamente con el ácido; pocas raíces; algo de material negro de arriba traído a lo largo de las grietas y canales de raíces; pH 8,0.</w:t>
      </w: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B332F4" w:rsidRPr="00B332F4" w:rsidRDefault="00B332F4" w:rsidP="00B332F4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B332F4" w:rsidRPr="00B332F4" w:rsidRDefault="00B332F4" w:rsidP="00B332F4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B332F4">
        <w:rPr>
          <w:sz w:val="22"/>
          <w:szCs w:val="22"/>
          <w:lang w:val="es-ES"/>
        </w:rPr>
        <w:t>Variabilidad de rasgos</w:t>
      </w:r>
    </w:p>
    <w:p w:rsidR="00B332F4" w:rsidRPr="00B332F4" w:rsidRDefault="00B332F4" w:rsidP="00B332F4">
      <w:pPr>
        <w:jc w:val="both"/>
        <w:rPr>
          <w:sz w:val="22"/>
          <w:szCs w:val="22"/>
        </w:rPr>
      </w:pP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t xml:space="preserve">El </w:t>
      </w:r>
      <w:proofErr w:type="spellStart"/>
      <w:r w:rsidRPr="00B332F4">
        <w:rPr>
          <w:sz w:val="22"/>
          <w:szCs w:val="22"/>
        </w:rPr>
        <w:t>sólum</w:t>
      </w:r>
      <w:proofErr w:type="spellEnd"/>
      <w:r w:rsidRPr="00B332F4">
        <w:rPr>
          <w:sz w:val="22"/>
          <w:szCs w:val="22"/>
        </w:rPr>
        <w:t xml:space="preserve"> varía entre 50-100 cm de espesor. El </w:t>
      </w:r>
      <w:proofErr w:type="spellStart"/>
      <w:r w:rsidRPr="00B332F4">
        <w:rPr>
          <w:sz w:val="22"/>
          <w:szCs w:val="22"/>
        </w:rPr>
        <w:t>epipedón</w:t>
      </w:r>
      <w:proofErr w:type="spellEnd"/>
      <w:r w:rsidRPr="00B332F4">
        <w:rPr>
          <w:sz w:val="22"/>
          <w:szCs w:val="22"/>
        </w:rPr>
        <w:t xml:space="preserve"> está compuesto por un horizonte A11+A12, generalmente  profundo (+ de 25 cm). Es de color  oscuro y su textura es de franco-arcillo-limoso a arcillo-limoso.</w:t>
      </w:r>
    </w:p>
    <w:p w:rsidR="00B332F4" w:rsidRPr="00B332F4" w:rsidRDefault="00B332F4" w:rsidP="00B332F4">
      <w:pPr>
        <w:jc w:val="both"/>
        <w:rPr>
          <w:sz w:val="22"/>
          <w:szCs w:val="22"/>
        </w:rPr>
      </w:pP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t xml:space="preserve">El horizonte </w:t>
      </w:r>
      <w:proofErr w:type="spellStart"/>
      <w:r w:rsidRPr="00B332F4">
        <w:rPr>
          <w:sz w:val="22"/>
          <w:szCs w:val="22"/>
        </w:rPr>
        <w:t>argílico</w:t>
      </w:r>
      <w:proofErr w:type="spellEnd"/>
      <w:r w:rsidRPr="00B332F4">
        <w:rPr>
          <w:sz w:val="22"/>
          <w:szCs w:val="22"/>
        </w:rPr>
        <w:t xml:space="preserve"> es de estructura prismática. Las características </w:t>
      </w:r>
      <w:proofErr w:type="spellStart"/>
      <w:r w:rsidRPr="00B332F4">
        <w:rPr>
          <w:sz w:val="22"/>
          <w:szCs w:val="22"/>
        </w:rPr>
        <w:t>vérticas</w:t>
      </w:r>
      <w:proofErr w:type="spellEnd"/>
      <w:r w:rsidRPr="00B332F4">
        <w:rPr>
          <w:sz w:val="22"/>
          <w:szCs w:val="22"/>
        </w:rPr>
        <w:t xml:space="preserve"> están mejor expresadas en el B22t donde aumenta el porcentaje de arcilla, aunque no se hace notable la presencia del movimiento en masa (“</w:t>
      </w:r>
      <w:proofErr w:type="spellStart"/>
      <w:r w:rsidRPr="00B332F4">
        <w:rPr>
          <w:sz w:val="22"/>
          <w:szCs w:val="22"/>
        </w:rPr>
        <w:t>churning</w:t>
      </w:r>
      <w:proofErr w:type="spellEnd"/>
      <w:r w:rsidRPr="00B332F4">
        <w:rPr>
          <w:sz w:val="22"/>
          <w:szCs w:val="22"/>
        </w:rPr>
        <w:t>”)</w:t>
      </w:r>
      <w:r>
        <w:rPr>
          <w:sz w:val="22"/>
          <w:szCs w:val="22"/>
        </w:rPr>
        <w:t>.</w:t>
      </w: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t xml:space="preserve">Los carbonatos se presentan en concreciones duras a partir de los 90-100 cm. y en la masa a partir </w:t>
      </w:r>
      <w:r w:rsidRPr="00B332F4">
        <w:rPr>
          <w:sz w:val="22"/>
          <w:szCs w:val="22"/>
        </w:rPr>
        <w:lastRenderedPageBreak/>
        <w:t>de los 50-70 cm.</w:t>
      </w: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t xml:space="preserve">La posición fisiográfica de esta serie determina su variabilidad de rasgos, </w:t>
      </w:r>
      <w:proofErr w:type="spellStart"/>
      <w:r w:rsidRPr="00B332F4">
        <w:rPr>
          <w:sz w:val="22"/>
          <w:szCs w:val="22"/>
        </w:rPr>
        <w:t>encontrandosé</w:t>
      </w:r>
      <w:proofErr w:type="spellEnd"/>
      <w:r w:rsidRPr="00B332F4">
        <w:rPr>
          <w:sz w:val="22"/>
          <w:szCs w:val="22"/>
        </w:rPr>
        <w:t xml:space="preserve"> en algunos sectores, perfiles que se los podría considerar como un </w:t>
      </w:r>
      <w:proofErr w:type="spellStart"/>
      <w:r w:rsidRPr="00B332F4">
        <w:rPr>
          <w:sz w:val="22"/>
          <w:szCs w:val="22"/>
        </w:rPr>
        <w:t>taxajunto</w:t>
      </w:r>
      <w:proofErr w:type="spellEnd"/>
      <w:r w:rsidRPr="00B332F4">
        <w:rPr>
          <w:sz w:val="22"/>
          <w:szCs w:val="22"/>
        </w:rPr>
        <w:t xml:space="preserve"> de la misma; peor los fines de la escala de reconocimiento no se han considerado.   </w:t>
      </w:r>
    </w:p>
    <w:p w:rsidR="00B332F4" w:rsidRDefault="00B332F4" w:rsidP="00B332F4">
      <w:pPr>
        <w:jc w:val="both"/>
        <w:rPr>
          <w:sz w:val="22"/>
          <w:szCs w:val="22"/>
        </w:rPr>
      </w:pPr>
    </w:p>
    <w:p w:rsidR="00B332F4" w:rsidRPr="00B332F4" w:rsidRDefault="00B332F4" w:rsidP="00B332F4">
      <w:pPr>
        <w:jc w:val="both"/>
        <w:rPr>
          <w:sz w:val="22"/>
          <w:szCs w:val="22"/>
        </w:rPr>
      </w:pPr>
    </w:p>
    <w:p w:rsidR="00B332F4" w:rsidRPr="00B332F4" w:rsidRDefault="00B332F4" w:rsidP="00B332F4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B332F4">
        <w:rPr>
          <w:sz w:val="22"/>
          <w:szCs w:val="22"/>
          <w:lang w:val="es-ES"/>
        </w:rPr>
        <w:t>Fases</w:t>
      </w:r>
    </w:p>
    <w:p w:rsidR="00B332F4" w:rsidRPr="00B332F4" w:rsidRDefault="00B332F4" w:rsidP="00B332F4">
      <w:pPr>
        <w:jc w:val="both"/>
        <w:rPr>
          <w:sz w:val="22"/>
          <w:szCs w:val="22"/>
        </w:rPr>
      </w:pPr>
    </w:p>
    <w:p w:rsidR="00B332F4" w:rsidRPr="00B332F4" w:rsidRDefault="00B332F4" w:rsidP="00B332F4">
      <w:pPr>
        <w:jc w:val="both"/>
        <w:rPr>
          <w:sz w:val="22"/>
          <w:szCs w:val="22"/>
        </w:rPr>
      </w:pPr>
      <w:r w:rsidRPr="00B332F4">
        <w:rPr>
          <w:sz w:val="22"/>
          <w:szCs w:val="22"/>
        </w:rPr>
        <w:t xml:space="preserve">De acuerdo a lo expresado en la variabilidad de rasgos se podría crear una fase </w:t>
      </w:r>
      <w:proofErr w:type="spellStart"/>
      <w:r w:rsidRPr="00B332F4">
        <w:rPr>
          <w:sz w:val="22"/>
          <w:szCs w:val="22"/>
        </w:rPr>
        <w:t>encharcable</w:t>
      </w:r>
      <w:proofErr w:type="spellEnd"/>
      <w:r w:rsidRPr="00B332F4">
        <w:rPr>
          <w:sz w:val="22"/>
          <w:szCs w:val="22"/>
        </w:rPr>
        <w:t xml:space="preserve"> en determinados sectores.</w:t>
      </w:r>
    </w:p>
    <w:p w:rsidR="00B332F4" w:rsidRDefault="00B332F4" w:rsidP="00B332F4">
      <w:pPr>
        <w:rPr>
          <w:sz w:val="22"/>
          <w:szCs w:val="22"/>
          <w:u w:val="single"/>
        </w:rPr>
      </w:pPr>
    </w:p>
    <w:p w:rsidR="00B332F4" w:rsidRPr="00B332F4" w:rsidRDefault="00B332F4" w:rsidP="00B332F4">
      <w:pPr>
        <w:rPr>
          <w:sz w:val="22"/>
          <w:szCs w:val="22"/>
          <w:u w:val="single"/>
        </w:rPr>
      </w:pPr>
    </w:p>
    <w:p w:rsidR="00B332F4" w:rsidRPr="00B332F4" w:rsidRDefault="00B332F4" w:rsidP="00B332F4">
      <w:pPr>
        <w:pStyle w:val="Ttulo3"/>
        <w:rPr>
          <w:sz w:val="22"/>
          <w:szCs w:val="22"/>
        </w:rPr>
      </w:pPr>
      <w:r w:rsidRPr="00B332F4">
        <w:rPr>
          <w:sz w:val="22"/>
          <w:szCs w:val="22"/>
        </w:rPr>
        <w:t>Series similares y sus diferencias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pStyle w:val="Textoindependiente"/>
        <w:rPr>
          <w:color w:val="000000"/>
          <w:sz w:val="22"/>
          <w:szCs w:val="22"/>
        </w:rPr>
      </w:pPr>
      <w:r w:rsidRPr="00B332F4">
        <w:rPr>
          <w:color w:val="000000"/>
          <w:sz w:val="22"/>
          <w:szCs w:val="22"/>
        </w:rPr>
        <w:t xml:space="preserve">Se parece a la serie </w:t>
      </w:r>
      <w:proofErr w:type="spellStart"/>
      <w:r w:rsidRPr="00B332F4">
        <w:rPr>
          <w:color w:val="000000"/>
          <w:sz w:val="22"/>
          <w:szCs w:val="22"/>
        </w:rPr>
        <w:t>Mugherli</w:t>
      </w:r>
      <w:proofErr w:type="spellEnd"/>
      <w:r w:rsidRPr="00B332F4">
        <w:rPr>
          <w:color w:val="000000"/>
          <w:sz w:val="22"/>
          <w:szCs w:val="22"/>
        </w:rPr>
        <w:t xml:space="preserve">, a la que a veces está asociada. La serie </w:t>
      </w:r>
      <w:proofErr w:type="spellStart"/>
      <w:r w:rsidRPr="00B332F4">
        <w:rPr>
          <w:color w:val="000000"/>
          <w:sz w:val="22"/>
          <w:szCs w:val="22"/>
        </w:rPr>
        <w:t>Mugherli</w:t>
      </w:r>
      <w:proofErr w:type="spellEnd"/>
      <w:r w:rsidRPr="00B332F4">
        <w:rPr>
          <w:color w:val="000000"/>
          <w:sz w:val="22"/>
          <w:szCs w:val="22"/>
        </w:rPr>
        <w:t xml:space="preserve"> se encuentra en distinta posición en el paisaje, es menos hidromórfica, con </w:t>
      </w:r>
      <w:proofErr w:type="spellStart"/>
      <w:r w:rsidRPr="00B332F4">
        <w:rPr>
          <w:color w:val="000000"/>
          <w:sz w:val="22"/>
          <w:szCs w:val="22"/>
        </w:rPr>
        <w:t>gilgai</w:t>
      </w:r>
      <w:proofErr w:type="spellEnd"/>
      <w:r w:rsidRPr="00B332F4">
        <w:rPr>
          <w:color w:val="000000"/>
          <w:sz w:val="22"/>
          <w:szCs w:val="22"/>
        </w:rPr>
        <w:t xml:space="preserve"> lineal mejor </w:t>
      </w:r>
      <w:proofErr w:type="spellStart"/>
      <w:r w:rsidRPr="00B332F4">
        <w:rPr>
          <w:color w:val="000000"/>
          <w:sz w:val="22"/>
          <w:szCs w:val="22"/>
        </w:rPr>
        <w:t>desarrolado</w:t>
      </w:r>
      <w:proofErr w:type="spellEnd"/>
      <w:r w:rsidRPr="00B332F4">
        <w:rPr>
          <w:color w:val="000000"/>
          <w:sz w:val="22"/>
          <w:szCs w:val="22"/>
        </w:rPr>
        <w:t xml:space="preserve"> y con pendientes entre 2-3%.</w:t>
      </w:r>
    </w:p>
    <w:p w:rsidR="00B332F4" w:rsidRDefault="00B332F4" w:rsidP="00B332F4">
      <w:pPr>
        <w:rPr>
          <w:color w:val="000000"/>
          <w:sz w:val="22"/>
          <w:szCs w:val="22"/>
        </w:rPr>
      </w:pPr>
    </w:p>
    <w:p w:rsidR="00B332F4" w:rsidRPr="00B332F4" w:rsidRDefault="00B332F4" w:rsidP="00B332F4">
      <w:pPr>
        <w:rPr>
          <w:color w:val="000000"/>
          <w:sz w:val="22"/>
          <w:szCs w:val="22"/>
        </w:rPr>
      </w:pPr>
    </w:p>
    <w:p w:rsidR="00B332F4" w:rsidRPr="00B332F4" w:rsidRDefault="00B332F4" w:rsidP="00B332F4">
      <w:pPr>
        <w:pStyle w:val="Ttulo3"/>
        <w:rPr>
          <w:sz w:val="22"/>
          <w:szCs w:val="22"/>
        </w:rPr>
      </w:pPr>
      <w:r w:rsidRPr="00B332F4">
        <w:rPr>
          <w:sz w:val="22"/>
          <w:szCs w:val="22"/>
        </w:rPr>
        <w:t>Drenaje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t>Moderada a imperfectamente drenado; escurrimiento superficial algo lento. Permeabilidad lenta a muy lenta. Napa freática profunda. Grupo hidrológico D.</w:t>
      </w:r>
    </w:p>
    <w:p w:rsidR="00B332F4" w:rsidRDefault="00B332F4" w:rsidP="00B332F4">
      <w:pPr>
        <w:rPr>
          <w:sz w:val="22"/>
          <w:szCs w:val="22"/>
          <w:u w:val="single"/>
        </w:rPr>
      </w:pPr>
    </w:p>
    <w:p w:rsidR="00B332F4" w:rsidRPr="00B332F4" w:rsidRDefault="00B332F4" w:rsidP="00B332F4">
      <w:pPr>
        <w:rPr>
          <w:sz w:val="22"/>
          <w:szCs w:val="22"/>
          <w:u w:val="single"/>
        </w:rPr>
      </w:pPr>
    </w:p>
    <w:p w:rsidR="00B332F4" w:rsidRPr="00B332F4" w:rsidRDefault="00B332F4" w:rsidP="00B332F4">
      <w:pPr>
        <w:pStyle w:val="Ttulo3"/>
        <w:rPr>
          <w:sz w:val="22"/>
          <w:szCs w:val="22"/>
        </w:rPr>
      </w:pPr>
      <w:r w:rsidRPr="00B332F4">
        <w:rPr>
          <w:sz w:val="22"/>
          <w:szCs w:val="22"/>
        </w:rPr>
        <w:t>Erosión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jc w:val="both"/>
        <w:rPr>
          <w:sz w:val="22"/>
          <w:szCs w:val="22"/>
        </w:rPr>
      </w:pPr>
      <w:r w:rsidRPr="00B332F4">
        <w:rPr>
          <w:sz w:val="22"/>
          <w:szCs w:val="22"/>
        </w:rPr>
        <w:t>La Serie puede estar erosionada por sectores en forma de surcos y pequeñas cárcavas, donde la pendiente se acentúa.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pStyle w:val="Textoindependiente"/>
        <w:rPr>
          <w:sz w:val="22"/>
          <w:szCs w:val="22"/>
        </w:rPr>
      </w:pPr>
      <w:r w:rsidRPr="00B332F4">
        <w:rPr>
          <w:sz w:val="22"/>
          <w:szCs w:val="22"/>
        </w:rPr>
        <w:br w:type="page"/>
      </w:r>
    </w:p>
    <w:p w:rsidR="00B332F4" w:rsidRPr="00B332F4" w:rsidRDefault="00B332F4" w:rsidP="00B332F4">
      <w:pPr>
        <w:pStyle w:val="Ttulo1"/>
        <w:rPr>
          <w:sz w:val="22"/>
          <w:szCs w:val="22"/>
          <w:u w:val="single"/>
        </w:rPr>
      </w:pPr>
      <w:r w:rsidRPr="00B332F4">
        <w:rPr>
          <w:sz w:val="22"/>
          <w:szCs w:val="22"/>
          <w:u w:val="single"/>
        </w:rPr>
        <w:lastRenderedPageBreak/>
        <w:t>DATOS ANALITICOS DEL PERFIL TIPICO</w:t>
      </w:r>
    </w:p>
    <w:p w:rsidR="00B332F4" w:rsidRPr="00B332F4" w:rsidRDefault="00B332F4" w:rsidP="00B332F4">
      <w:pPr>
        <w:rPr>
          <w:sz w:val="22"/>
          <w:szCs w:val="22"/>
        </w:rPr>
      </w:pPr>
    </w:p>
    <w:p w:rsidR="00B332F4" w:rsidRPr="00B332F4" w:rsidRDefault="00B332F4" w:rsidP="00B332F4">
      <w:pPr>
        <w:rPr>
          <w:b/>
          <w:sz w:val="22"/>
          <w:szCs w:val="22"/>
        </w:rPr>
      </w:pPr>
      <w:r w:rsidRPr="00B332F4">
        <w:rPr>
          <w:b/>
          <w:sz w:val="22"/>
          <w:szCs w:val="22"/>
          <w:u w:val="single"/>
        </w:rPr>
        <w:t>Serie Urquiza</w:t>
      </w:r>
    </w:p>
    <w:p w:rsidR="00B332F4" w:rsidRPr="00B332F4" w:rsidRDefault="00B332F4" w:rsidP="00B332F4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60"/>
        <w:gridCol w:w="959"/>
        <w:gridCol w:w="1134"/>
        <w:gridCol w:w="1134"/>
        <w:gridCol w:w="1134"/>
      </w:tblGrid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b/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ER7-146C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C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Profundidad (cm)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0-20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20-60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60-95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95-135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proofErr w:type="spellStart"/>
            <w:r w:rsidRPr="00B332F4">
              <w:rPr>
                <w:sz w:val="22"/>
                <w:szCs w:val="22"/>
              </w:rPr>
              <w:t>Mat.orgánica</w:t>
            </w:r>
            <w:proofErr w:type="spellEnd"/>
            <w:r w:rsidRPr="00B332F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5,22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2,83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1,54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0,34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C (%)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3,04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1,65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0,98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0,20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0,247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0,103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0,060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 xml:space="preserve">T                        &lt;2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46,2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42,9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41,6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47,6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E                     2-20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24,9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30,3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33,4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36,8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X                    2-50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43,1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45,9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45,2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47,8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T                 50-100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5,5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4,3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2,1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1,0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U              100-500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4,1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3,1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1,1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</w:t>
            </w:r>
            <w:bookmarkStart w:id="0" w:name="_GoBack"/>
            <w:bookmarkEnd w:id="0"/>
            <w:r w:rsidRPr="00B332F4">
              <w:rPr>
                <w:sz w:val="22"/>
                <w:szCs w:val="22"/>
                <w:lang w:val="en-US"/>
              </w:rPr>
              <w:t xml:space="preserve">   500-1000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1,1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1,5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1,0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 xml:space="preserve">A          1000-2000 </w:t>
            </w:r>
            <w:r w:rsidRPr="00B332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2,3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9,0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1,5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7,4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8,5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8,9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8,9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332F4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6,1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6,9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7,1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7,0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Resistencia en pasta</w:t>
            </w:r>
          </w:p>
          <w:p w:rsidR="00B332F4" w:rsidRPr="00B332F4" w:rsidRDefault="00B332F4" w:rsidP="00B332F4">
            <w:pPr>
              <w:rPr>
                <w:sz w:val="22"/>
                <w:szCs w:val="22"/>
              </w:rPr>
            </w:pPr>
            <w:proofErr w:type="spellStart"/>
            <w:r w:rsidRPr="00B332F4">
              <w:rPr>
                <w:sz w:val="22"/>
                <w:szCs w:val="22"/>
              </w:rPr>
              <w:t>Ohms</w:t>
            </w:r>
            <w:proofErr w:type="spellEnd"/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1006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975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912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787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B332F4">
              <w:rPr>
                <w:sz w:val="22"/>
                <w:szCs w:val="22"/>
              </w:rPr>
              <w:t>mmhos</w:t>
            </w:r>
            <w:proofErr w:type="spellEnd"/>
            <w:r w:rsidRPr="00B332F4">
              <w:rPr>
                <w:sz w:val="22"/>
                <w:szCs w:val="22"/>
              </w:rPr>
              <w:t>/cm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0,89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0,56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0,50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0,72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Capacidad de intercambio catiónico (</w:t>
            </w:r>
            <w:proofErr w:type="spellStart"/>
            <w:r w:rsidRPr="00B332F4">
              <w:rPr>
                <w:sz w:val="22"/>
                <w:szCs w:val="22"/>
              </w:rPr>
              <w:t>m.e</w:t>
            </w:r>
            <w:proofErr w:type="spellEnd"/>
            <w:r w:rsidRPr="00B332F4">
              <w:rPr>
                <w:sz w:val="22"/>
                <w:szCs w:val="22"/>
              </w:rPr>
              <w:t>./100 g) =</w:t>
            </w:r>
          </w:p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46,2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53,8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48,4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54,8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D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  <w:r w:rsidRPr="00B332F4">
              <w:rPr>
                <w:sz w:val="22"/>
                <w:szCs w:val="22"/>
                <w:lang w:val="es-ES_tradnl"/>
              </w:rPr>
              <w:t>38,6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E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5,9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proofErr w:type="spellStart"/>
            <w:r w:rsidRPr="00B332F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K+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0,8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0,4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m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B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proofErr w:type="spellStart"/>
            <w:r w:rsidRPr="00B332F4">
              <w:rPr>
                <w:sz w:val="22"/>
                <w:szCs w:val="22"/>
              </w:rPr>
              <w:t>Na</w:t>
            </w:r>
            <w:proofErr w:type="spellEnd"/>
            <w:r w:rsidRPr="00B332F4">
              <w:rPr>
                <w:sz w:val="22"/>
                <w:szCs w:val="22"/>
              </w:rPr>
              <w:t>+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1,3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2,6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O</w:t>
            </w:r>
          </w:p>
        </w:tc>
        <w:tc>
          <w:tcPr>
            <w:tcW w:w="860" w:type="dxa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H+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%</w:t>
            </w:r>
            <w:proofErr w:type="spellStart"/>
            <w:r w:rsidRPr="00B332F4">
              <w:rPr>
                <w:sz w:val="22"/>
                <w:szCs w:val="22"/>
              </w:rPr>
              <w:t>Na</w:t>
            </w:r>
            <w:proofErr w:type="spellEnd"/>
            <w:r w:rsidRPr="00B332F4">
              <w:rPr>
                <w:sz w:val="22"/>
                <w:szCs w:val="22"/>
              </w:rPr>
              <w:t>/T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332F4">
              <w:rPr>
                <w:color w:val="000000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332F4">
              <w:rPr>
                <w:color w:val="000000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332F4">
              <w:rPr>
                <w:color w:val="000000"/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332F4">
              <w:rPr>
                <w:color w:val="000000"/>
                <w:sz w:val="22"/>
                <w:szCs w:val="22"/>
                <w:lang w:val="en-US"/>
              </w:rPr>
              <w:t>0.05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Equivalente de  humedad  (%) </w:t>
            </w:r>
          </w:p>
        </w:tc>
        <w:tc>
          <w:tcPr>
            <w:tcW w:w="959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39,8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49,4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61,7</w:t>
            </w:r>
          </w:p>
        </w:tc>
        <w:tc>
          <w:tcPr>
            <w:tcW w:w="1134" w:type="dxa"/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73,1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 xml:space="preserve">Factor de </w:t>
            </w:r>
          </w:p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Humedad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1,14</w:t>
            </w:r>
          </w:p>
        </w:tc>
      </w:tr>
      <w:tr w:rsidR="00B332F4" w:rsidRPr="00B332F4" w:rsidTr="00B332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rPr>
                <w:sz w:val="22"/>
                <w:szCs w:val="22"/>
              </w:rPr>
            </w:pPr>
          </w:p>
          <w:p w:rsidR="00B332F4" w:rsidRPr="00B332F4" w:rsidRDefault="00B332F4" w:rsidP="00B332F4">
            <w:pPr>
              <w:rPr>
                <w:sz w:val="22"/>
                <w:szCs w:val="22"/>
              </w:rPr>
            </w:pPr>
            <w:r w:rsidRPr="00B332F4">
              <w:rPr>
                <w:sz w:val="22"/>
                <w:szCs w:val="22"/>
              </w:rPr>
              <w:t>Fósforo asimilable ppm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332F4" w:rsidRPr="00B332F4" w:rsidRDefault="00B332F4" w:rsidP="00B332F4">
            <w:pPr>
              <w:jc w:val="center"/>
              <w:rPr>
                <w:sz w:val="22"/>
                <w:szCs w:val="22"/>
                <w:lang w:val="en-US"/>
              </w:rPr>
            </w:pPr>
            <w:r w:rsidRPr="00B332F4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D10285" w:rsidRPr="00B332F4" w:rsidRDefault="00D10285" w:rsidP="00B332F4">
      <w:pPr>
        <w:rPr>
          <w:sz w:val="22"/>
          <w:szCs w:val="22"/>
        </w:rPr>
      </w:pPr>
    </w:p>
    <w:sectPr w:rsidR="00D10285" w:rsidRPr="00B33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F4"/>
    <w:rsid w:val="00B332F4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F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332F4"/>
    <w:pPr>
      <w:keepNext/>
      <w:outlineLvl w:val="0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B332F4"/>
    <w:pPr>
      <w:keepNext/>
      <w:outlineLvl w:val="2"/>
    </w:pPr>
    <w:rPr>
      <w:b/>
      <w:bCs/>
      <w:sz w:val="24"/>
      <w:u w:val="single"/>
    </w:rPr>
  </w:style>
  <w:style w:type="paragraph" w:styleId="Ttulo8">
    <w:name w:val="heading 8"/>
    <w:basedOn w:val="Normal"/>
    <w:next w:val="Normal"/>
    <w:link w:val="Ttulo8Car"/>
    <w:qFormat/>
    <w:rsid w:val="00B332F4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32F4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332F4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332F4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332F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332F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B332F4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332F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B332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332F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F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332F4"/>
    <w:pPr>
      <w:keepNext/>
      <w:outlineLvl w:val="0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B332F4"/>
    <w:pPr>
      <w:keepNext/>
      <w:outlineLvl w:val="2"/>
    </w:pPr>
    <w:rPr>
      <w:b/>
      <w:bCs/>
      <w:sz w:val="24"/>
      <w:u w:val="single"/>
    </w:rPr>
  </w:style>
  <w:style w:type="paragraph" w:styleId="Ttulo8">
    <w:name w:val="heading 8"/>
    <w:basedOn w:val="Normal"/>
    <w:next w:val="Normal"/>
    <w:link w:val="Ttulo8Car"/>
    <w:qFormat/>
    <w:rsid w:val="00B332F4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32F4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332F4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332F4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332F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332F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B332F4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332F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B332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332F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2014-02-04T17:23:00Z</dcterms:created>
  <dcterms:modified xsi:type="dcterms:W3CDTF">2014-02-04T17:26:00Z</dcterms:modified>
</cp:coreProperties>
</file>