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20F" w:rsidRPr="0069420F" w:rsidRDefault="0069420F" w:rsidP="0069420F">
      <w:pPr>
        <w:pStyle w:val="Encabezado"/>
        <w:tabs>
          <w:tab w:val="clear" w:pos="4419"/>
          <w:tab w:val="clear" w:pos="8838"/>
        </w:tabs>
        <w:rPr>
          <w:sz w:val="22"/>
          <w:szCs w:val="22"/>
          <w:lang w:val="es-ES_tradnl"/>
        </w:rPr>
      </w:pPr>
    </w:p>
    <w:p w:rsidR="0069420F" w:rsidRPr="0069420F" w:rsidRDefault="0069420F" w:rsidP="0069420F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left"/>
        <w:rPr>
          <w:b/>
          <w:szCs w:val="24"/>
        </w:rPr>
      </w:pPr>
      <w:r w:rsidRPr="0069420F">
        <w:rPr>
          <w:b/>
          <w:szCs w:val="24"/>
        </w:rPr>
        <w:t xml:space="preserve">SERIE DON MERCIER                            </w:t>
      </w:r>
      <w:r w:rsidRPr="0069420F">
        <w:rPr>
          <w:szCs w:val="24"/>
        </w:rPr>
        <w:t xml:space="preserve">                                </w:t>
      </w:r>
      <w:r>
        <w:rPr>
          <w:szCs w:val="24"/>
        </w:rPr>
        <w:t xml:space="preserve">    </w:t>
      </w:r>
      <w:r w:rsidRPr="0069420F">
        <w:rPr>
          <w:szCs w:val="24"/>
        </w:rPr>
        <w:t xml:space="preserve">                Símbolo</w:t>
      </w:r>
      <w:r w:rsidRPr="0069420F">
        <w:rPr>
          <w:b/>
          <w:szCs w:val="24"/>
        </w:rPr>
        <w:t xml:space="preserve">: </w:t>
      </w:r>
      <w:proofErr w:type="spellStart"/>
      <w:r w:rsidRPr="0069420F">
        <w:rPr>
          <w:b/>
          <w:szCs w:val="24"/>
        </w:rPr>
        <w:t>DMr</w:t>
      </w:r>
      <w:proofErr w:type="spellEnd"/>
    </w:p>
    <w:p w:rsidR="0069420F" w:rsidRPr="0069420F" w:rsidRDefault="0069420F" w:rsidP="0069420F">
      <w:pPr>
        <w:jc w:val="both"/>
        <w:rPr>
          <w:sz w:val="22"/>
          <w:szCs w:val="22"/>
          <w:lang w:val="es-ES_tradnl"/>
        </w:rPr>
      </w:pPr>
    </w:p>
    <w:p w:rsidR="0069420F" w:rsidRPr="0069420F" w:rsidRDefault="0069420F" w:rsidP="0069420F">
      <w:pPr>
        <w:jc w:val="both"/>
        <w:rPr>
          <w:sz w:val="22"/>
          <w:szCs w:val="22"/>
          <w:lang w:val="es-ES_tradnl"/>
        </w:rPr>
      </w:pPr>
    </w:p>
    <w:p w:rsidR="0069420F" w:rsidRPr="0069420F" w:rsidRDefault="0069420F" w:rsidP="0069420F">
      <w:pPr>
        <w:tabs>
          <w:tab w:val="right" w:pos="9071"/>
        </w:tabs>
        <w:jc w:val="both"/>
        <w:rPr>
          <w:sz w:val="22"/>
          <w:szCs w:val="22"/>
          <w:lang w:val="es-ES_tradnl"/>
        </w:rPr>
      </w:pPr>
      <w:r w:rsidRPr="0069420F">
        <w:rPr>
          <w:sz w:val="22"/>
          <w:szCs w:val="22"/>
          <w:lang w:val="es-ES_tradnl"/>
        </w:rPr>
        <w:t xml:space="preserve">Pertenece a la familia "fina, térmica" de los </w:t>
      </w:r>
      <w:proofErr w:type="spellStart"/>
      <w:r w:rsidRPr="0069420F">
        <w:rPr>
          <w:sz w:val="22"/>
          <w:szCs w:val="22"/>
          <w:u w:val="single"/>
          <w:lang w:val="es-ES_tradnl"/>
        </w:rPr>
        <w:t>Peludertes</w:t>
      </w:r>
      <w:proofErr w:type="spellEnd"/>
      <w:r w:rsidRPr="0069420F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69420F">
        <w:rPr>
          <w:sz w:val="22"/>
          <w:szCs w:val="22"/>
          <w:u w:val="single"/>
          <w:lang w:val="es-ES_tradnl"/>
        </w:rPr>
        <w:t>árgicos</w:t>
      </w:r>
      <w:proofErr w:type="spellEnd"/>
      <w:r w:rsidRPr="0069420F">
        <w:rPr>
          <w:sz w:val="22"/>
          <w:szCs w:val="22"/>
          <w:lang w:val="es-ES_tradnl"/>
        </w:rPr>
        <w:t xml:space="preserve">. Presenta un </w:t>
      </w:r>
      <w:proofErr w:type="spellStart"/>
      <w:r w:rsidRPr="0069420F">
        <w:rPr>
          <w:sz w:val="22"/>
          <w:szCs w:val="22"/>
          <w:lang w:val="es-ES_tradnl"/>
        </w:rPr>
        <w:t>epipedón</w:t>
      </w:r>
      <w:proofErr w:type="spellEnd"/>
      <w:r w:rsidRPr="0069420F">
        <w:rPr>
          <w:sz w:val="22"/>
          <w:szCs w:val="22"/>
          <w:lang w:val="es-ES_tradnl"/>
        </w:rPr>
        <w:t xml:space="preserve"> somero, negro, franco con arena que disminuye en profundidad y un B2 textural </w:t>
      </w:r>
      <w:proofErr w:type="spellStart"/>
      <w:r w:rsidRPr="0069420F">
        <w:rPr>
          <w:sz w:val="22"/>
          <w:szCs w:val="22"/>
          <w:lang w:val="es-ES_tradnl"/>
        </w:rPr>
        <w:t>argílico</w:t>
      </w:r>
      <w:proofErr w:type="spellEnd"/>
      <w:r w:rsidRPr="0069420F">
        <w:rPr>
          <w:sz w:val="22"/>
          <w:szCs w:val="22"/>
          <w:lang w:val="es-ES_tradnl"/>
        </w:rPr>
        <w:t xml:space="preserve"> con prismas compuestos irregulares, caras de fricción ("</w:t>
      </w:r>
      <w:proofErr w:type="spellStart"/>
      <w:r w:rsidRPr="0069420F">
        <w:rPr>
          <w:sz w:val="22"/>
          <w:szCs w:val="22"/>
          <w:lang w:val="es-ES_tradnl"/>
        </w:rPr>
        <w:t>slickensides</w:t>
      </w:r>
      <w:proofErr w:type="spellEnd"/>
      <w:r w:rsidRPr="0069420F">
        <w:rPr>
          <w:sz w:val="22"/>
          <w:szCs w:val="22"/>
          <w:lang w:val="es-ES_tradnl"/>
        </w:rPr>
        <w:t>") abundantes, finas e intersectadas y arena fina en todo el perfil. Son suelos profundos, imperfectamente drenados con gley fósil al metro de profundidad.</w:t>
      </w:r>
    </w:p>
    <w:p w:rsidR="0069420F" w:rsidRPr="0069420F" w:rsidRDefault="0069420F" w:rsidP="0069420F">
      <w:pPr>
        <w:jc w:val="both"/>
        <w:rPr>
          <w:sz w:val="22"/>
          <w:szCs w:val="22"/>
          <w:lang w:val="es-ES_tradnl"/>
        </w:rPr>
      </w:pPr>
    </w:p>
    <w:p w:rsidR="0069420F" w:rsidRPr="0069420F" w:rsidRDefault="0069420F" w:rsidP="0069420F">
      <w:pPr>
        <w:jc w:val="both"/>
        <w:rPr>
          <w:sz w:val="22"/>
          <w:szCs w:val="22"/>
          <w:lang w:val="es-ES_tradnl"/>
        </w:rPr>
      </w:pPr>
      <w:r w:rsidRPr="0069420F">
        <w:rPr>
          <w:sz w:val="22"/>
          <w:szCs w:val="22"/>
          <w:lang w:val="es-ES_tradnl"/>
        </w:rPr>
        <w:t>Son suelos desarrollados en materiales arcillo-limosos ("limos calcáreos").</w:t>
      </w:r>
    </w:p>
    <w:p w:rsidR="0069420F" w:rsidRPr="0069420F" w:rsidRDefault="0069420F" w:rsidP="0069420F">
      <w:pPr>
        <w:jc w:val="both"/>
        <w:rPr>
          <w:sz w:val="22"/>
          <w:szCs w:val="22"/>
          <w:lang w:val="es-ES_tradnl"/>
        </w:rPr>
      </w:pPr>
    </w:p>
    <w:p w:rsidR="0069420F" w:rsidRPr="0069420F" w:rsidRDefault="0069420F" w:rsidP="0069420F">
      <w:pPr>
        <w:jc w:val="both"/>
        <w:rPr>
          <w:sz w:val="22"/>
          <w:szCs w:val="22"/>
          <w:lang w:val="es-ES_tradnl"/>
        </w:rPr>
      </w:pPr>
    </w:p>
    <w:p w:rsidR="0069420F" w:rsidRPr="0069420F" w:rsidRDefault="0069420F" w:rsidP="0069420F">
      <w:pPr>
        <w:jc w:val="both"/>
        <w:rPr>
          <w:sz w:val="22"/>
          <w:szCs w:val="22"/>
          <w:lang w:val="es-ES_tradnl"/>
        </w:rPr>
      </w:pPr>
      <w:r w:rsidRPr="0069420F">
        <w:rPr>
          <w:b/>
          <w:sz w:val="22"/>
          <w:szCs w:val="22"/>
          <w:lang w:val="es-ES_tradnl"/>
        </w:rPr>
        <w:t>Perfil tipo</w:t>
      </w:r>
      <w:r w:rsidRPr="0069420F">
        <w:rPr>
          <w:sz w:val="22"/>
          <w:szCs w:val="22"/>
          <w:u w:val="single"/>
          <w:lang w:val="es-ES_tradnl"/>
        </w:rPr>
        <w:t>:</w:t>
      </w:r>
      <w:r w:rsidRPr="0069420F">
        <w:rPr>
          <w:sz w:val="22"/>
          <w:szCs w:val="22"/>
          <w:lang w:val="es-ES_tradnl"/>
        </w:rPr>
        <w:t xml:space="preserve"> ER7-104C</w:t>
      </w:r>
    </w:p>
    <w:p w:rsidR="0069420F" w:rsidRPr="0069420F" w:rsidRDefault="0069420F" w:rsidP="0069420F">
      <w:pPr>
        <w:jc w:val="both"/>
        <w:rPr>
          <w:sz w:val="22"/>
          <w:szCs w:val="22"/>
          <w:lang w:val="es-ES_tradnl"/>
        </w:rPr>
      </w:pPr>
      <w:r w:rsidRPr="0069420F">
        <w:rPr>
          <w:b/>
          <w:sz w:val="22"/>
          <w:szCs w:val="22"/>
          <w:lang w:val="es-ES_tradnl"/>
        </w:rPr>
        <w:t>Fecha</w:t>
      </w:r>
      <w:r w:rsidRPr="0069420F">
        <w:rPr>
          <w:sz w:val="22"/>
          <w:szCs w:val="22"/>
          <w:lang w:val="es-ES_tradnl"/>
        </w:rPr>
        <w:t>: 18-VII-1995</w:t>
      </w:r>
    </w:p>
    <w:p w:rsidR="0069420F" w:rsidRPr="0069420F" w:rsidRDefault="0069420F" w:rsidP="0069420F">
      <w:pPr>
        <w:jc w:val="both"/>
        <w:rPr>
          <w:sz w:val="22"/>
          <w:szCs w:val="22"/>
          <w:lang w:val="es-ES_tradnl"/>
        </w:rPr>
      </w:pPr>
      <w:r w:rsidRPr="0069420F">
        <w:rPr>
          <w:b/>
          <w:sz w:val="22"/>
          <w:szCs w:val="22"/>
          <w:lang w:val="es-ES_tradnl"/>
        </w:rPr>
        <w:t>Ubicación</w:t>
      </w:r>
      <w:r w:rsidRPr="0069420F">
        <w:rPr>
          <w:sz w:val="22"/>
          <w:szCs w:val="22"/>
          <w:lang w:val="es-ES_tradnl"/>
        </w:rPr>
        <w:t>: Estancia "La Fe" (foto IR 420-82) - dto. Montoya - Dpto. Victoria.</w:t>
      </w:r>
    </w:p>
    <w:p w:rsidR="0069420F" w:rsidRPr="0069420F" w:rsidRDefault="0069420F" w:rsidP="0069420F">
      <w:pPr>
        <w:jc w:val="both"/>
        <w:rPr>
          <w:sz w:val="22"/>
          <w:szCs w:val="22"/>
          <w:lang w:val="es-ES_tradnl"/>
        </w:rPr>
      </w:pPr>
      <w:r w:rsidRPr="0069420F">
        <w:rPr>
          <w:b/>
          <w:sz w:val="22"/>
          <w:szCs w:val="22"/>
          <w:lang w:val="es-ES_tradnl"/>
        </w:rPr>
        <w:t>Reconocedores</w:t>
      </w:r>
      <w:r w:rsidRPr="0069420F">
        <w:rPr>
          <w:sz w:val="22"/>
          <w:szCs w:val="22"/>
          <w:lang w:val="es-ES_tradnl"/>
        </w:rPr>
        <w:t xml:space="preserve">: </w:t>
      </w:r>
      <w:proofErr w:type="spellStart"/>
      <w:r w:rsidRPr="0069420F">
        <w:rPr>
          <w:sz w:val="22"/>
          <w:szCs w:val="22"/>
          <w:lang w:val="es-ES_tradnl"/>
        </w:rPr>
        <w:t>L.O.López</w:t>
      </w:r>
      <w:proofErr w:type="spellEnd"/>
      <w:r w:rsidRPr="0069420F">
        <w:rPr>
          <w:sz w:val="22"/>
          <w:szCs w:val="22"/>
          <w:lang w:val="es-ES_tradnl"/>
        </w:rPr>
        <w:t xml:space="preserve">; </w:t>
      </w:r>
      <w:proofErr w:type="spellStart"/>
      <w:r w:rsidRPr="0069420F">
        <w:rPr>
          <w:sz w:val="22"/>
          <w:szCs w:val="22"/>
          <w:lang w:val="es-ES_tradnl"/>
        </w:rPr>
        <w:t>O.A.Foti</w:t>
      </w:r>
      <w:proofErr w:type="spellEnd"/>
      <w:r w:rsidRPr="0069420F">
        <w:rPr>
          <w:sz w:val="22"/>
          <w:szCs w:val="22"/>
          <w:lang w:val="es-ES_tradnl"/>
        </w:rPr>
        <w:t>.</w:t>
      </w:r>
    </w:p>
    <w:p w:rsidR="0069420F" w:rsidRDefault="0069420F" w:rsidP="0069420F">
      <w:pPr>
        <w:jc w:val="both"/>
        <w:rPr>
          <w:sz w:val="22"/>
          <w:szCs w:val="22"/>
          <w:lang w:val="es-ES_tradnl"/>
        </w:rPr>
      </w:pPr>
    </w:p>
    <w:p w:rsidR="0069420F" w:rsidRPr="0069420F" w:rsidRDefault="0069420F" w:rsidP="0069420F">
      <w:pPr>
        <w:jc w:val="both"/>
        <w:rPr>
          <w:sz w:val="22"/>
          <w:szCs w:val="22"/>
          <w:lang w:val="es-ES_tradnl"/>
        </w:rPr>
      </w:pPr>
    </w:p>
    <w:p w:rsidR="0069420F" w:rsidRPr="0069420F" w:rsidRDefault="0069420F" w:rsidP="0069420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69420F">
        <w:rPr>
          <w:b/>
          <w:sz w:val="22"/>
          <w:szCs w:val="22"/>
          <w:lang w:val="es-ES_tradnl"/>
        </w:rPr>
        <w:t>A1</w:t>
      </w:r>
      <w:r w:rsidRPr="0069420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69420F">
        <w:rPr>
          <w:sz w:val="22"/>
          <w:szCs w:val="22"/>
          <w:lang w:val="es-ES_tradnl"/>
        </w:rPr>
        <w:t xml:space="preserve">00-15 cm; negro (10YR 2.5/1) en húmedo; franco; estructura granular y en bloques </w:t>
      </w:r>
      <w:proofErr w:type="spellStart"/>
      <w:r w:rsidRPr="0069420F">
        <w:rPr>
          <w:sz w:val="22"/>
          <w:szCs w:val="22"/>
          <w:lang w:val="es-ES_tradnl"/>
        </w:rPr>
        <w:t>subangulares</w:t>
      </w:r>
      <w:proofErr w:type="spellEnd"/>
      <w:r w:rsidRPr="0069420F">
        <w:rPr>
          <w:sz w:val="22"/>
          <w:szCs w:val="22"/>
          <w:lang w:val="es-ES_tradnl"/>
        </w:rPr>
        <w:t xml:space="preserve"> medios, moderados; muy duro en seco, friable en húmedo; barnices ("</w:t>
      </w:r>
      <w:proofErr w:type="spellStart"/>
      <w:r w:rsidRPr="0069420F">
        <w:rPr>
          <w:sz w:val="22"/>
          <w:szCs w:val="22"/>
          <w:lang w:val="es-ES_tradnl"/>
        </w:rPr>
        <w:t>clay-humic</w:t>
      </w:r>
      <w:proofErr w:type="spellEnd"/>
      <w:r w:rsidRPr="0069420F">
        <w:rPr>
          <w:sz w:val="22"/>
          <w:szCs w:val="22"/>
          <w:lang w:val="es-ES_tradnl"/>
        </w:rPr>
        <w:t xml:space="preserve">") comunes, finos; moteados de hierro-manganeso escasos, finos y precisos; límite abrupto, suave.    </w:t>
      </w:r>
    </w:p>
    <w:p w:rsidR="0069420F" w:rsidRPr="0069420F" w:rsidRDefault="0069420F" w:rsidP="0069420F">
      <w:pPr>
        <w:jc w:val="both"/>
        <w:rPr>
          <w:sz w:val="22"/>
          <w:szCs w:val="22"/>
          <w:lang w:val="es-ES_tradnl"/>
        </w:rPr>
      </w:pPr>
    </w:p>
    <w:p w:rsidR="0069420F" w:rsidRPr="0069420F" w:rsidRDefault="0069420F" w:rsidP="0069420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69420F">
        <w:rPr>
          <w:b/>
          <w:sz w:val="22"/>
          <w:szCs w:val="22"/>
          <w:lang w:val="es-ES_tradnl"/>
        </w:rPr>
        <w:t>B21t</w:t>
      </w:r>
      <w:r w:rsidRPr="0069420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69420F">
        <w:rPr>
          <w:sz w:val="22"/>
          <w:szCs w:val="22"/>
          <w:lang w:val="es-ES_tradnl"/>
        </w:rPr>
        <w:t>15-45 cm; gris muy oscuro (10YR 3/1) en húmedo; franco-arcillo; estructura en prismas compuestos irregulares medios moderados que rompen a prismas compuestos irregulares finos, débiles; friable en húmedo; barnices ("</w:t>
      </w:r>
      <w:proofErr w:type="spellStart"/>
      <w:r w:rsidRPr="0069420F">
        <w:rPr>
          <w:sz w:val="22"/>
          <w:szCs w:val="22"/>
          <w:lang w:val="es-ES_tradnl"/>
        </w:rPr>
        <w:t>clay-humic</w:t>
      </w:r>
      <w:proofErr w:type="spellEnd"/>
      <w:r w:rsidRPr="0069420F">
        <w:rPr>
          <w:sz w:val="22"/>
          <w:szCs w:val="22"/>
          <w:lang w:val="es-ES_tradnl"/>
        </w:rPr>
        <w:t>") escasos finos, ("</w:t>
      </w:r>
      <w:proofErr w:type="spellStart"/>
      <w:r w:rsidRPr="0069420F">
        <w:rPr>
          <w:sz w:val="22"/>
          <w:szCs w:val="22"/>
          <w:lang w:val="es-ES_tradnl"/>
        </w:rPr>
        <w:t>clay</w:t>
      </w:r>
      <w:proofErr w:type="spellEnd"/>
      <w:r w:rsidRPr="0069420F">
        <w:rPr>
          <w:sz w:val="22"/>
          <w:szCs w:val="22"/>
          <w:lang w:val="es-ES_tradnl"/>
        </w:rPr>
        <w:t xml:space="preserve"> </w:t>
      </w:r>
      <w:proofErr w:type="spellStart"/>
      <w:r w:rsidRPr="0069420F">
        <w:rPr>
          <w:sz w:val="22"/>
          <w:szCs w:val="22"/>
          <w:lang w:val="es-ES_tradnl"/>
        </w:rPr>
        <w:t>skins</w:t>
      </w:r>
      <w:proofErr w:type="spellEnd"/>
      <w:r w:rsidRPr="0069420F">
        <w:rPr>
          <w:sz w:val="22"/>
          <w:szCs w:val="22"/>
          <w:lang w:val="es-ES_tradnl"/>
        </w:rPr>
        <w:t>"); caras de fricción ("</w:t>
      </w:r>
      <w:proofErr w:type="spellStart"/>
      <w:r w:rsidRPr="0069420F">
        <w:rPr>
          <w:sz w:val="22"/>
          <w:szCs w:val="22"/>
          <w:lang w:val="es-ES_tradnl"/>
        </w:rPr>
        <w:t>slickensides</w:t>
      </w:r>
      <w:proofErr w:type="spellEnd"/>
      <w:r w:rsidRPr="0069420F">
        <w:rPr>
          <w:sz w:val="22"/>
          <w:szCs w:val="22"/>
          <w:lang w:val="es-ES_tradnl"/>
        </w:rPr>
        <w:t>") intersectadas, comunes finas; moteados de hierro-manganeso comunes, medios y precisos; concreciones de hierro-manganeso escasas, finas; límite claro, suave.</w:t>
      </w:r>
    </w:p>
    <w:p w:rsidR="0069420F" w:rsidRPr="0069420F" w:rsidRDefault="0069420F" w:rsidP="0069420F">
      <w:pPr>
        <w:jc w:val="both"/>
        <w:rPr>
          <w:sz w:val="22"/>
          <w:szCs w:val="22"/>
          <w:lang w:val="es-ES_tradnl"/>
        </w:rPr>
      </w:pPr>
    </w:p>
    <w:p w:rsidR="0069420F" w:rsidRPr="0069420F" w:rsidRDefault="0069420F" w:rsidP="0069420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69420F">
        <w:rPr>
          <w:b/>
          <w:sz w:val="22"/>
          <w:szCs w:val="22"/>
          <w:lang w:val="es-ES_tradnl"/>
        </w:rPr>
        <w:t>B22t</w:t>
      </w:r>
      <w:r w:rsidRPr="0069420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69420F">
        <w:rPr>
          <w:sz w:val="22"/>
          <w:szCs w:val="22"/>
          <w:lang w:val="es-ES_tradnl"/>
        </w:rPr>
        <w:t>45-63 cm; gris oscuro (10YR 4/1) en húmedo; franco-arcilloso; estructura en prismas compuestos regulares gruesos y moderados, que rompen en bloques angulares y cuneiformes medios, moderados; extremadamente duro en seco y firme en húmedo; barnices ("</w:t>
      </w:r>
      <w:proofErr w:type="spellStart"/>
      <w:r w:rsidRPr="0069420F">
        <w:rPr>
          <w:sz w:val="22"/>
          <w:szCs w:val="22"/>
          <w:lang w:val="es-ES_tradnl"/>
        </w:rPr>
        <w:t>clay</w:t>
      </w:r>
      <w:proofErr w:type="spellEnd"/>
      <w:r w:rsidRPr="0069420F">
        <w:rPr>
          <w:sz w:val="22"/>
          <w:szCs w:val="22"/>
          <w:lang w:val="es-ES_tradnl"/>
        </w:rPr>
        <w:t xml:space="preserve"> </w:t>
      </w:r>
      <w:proofErr w:type="spellStart"/>
      <w:r w:rsidRPr="0069420F">
        <w:rPr>
          <w:sz w:val="22"/>
          <w:szCs w:val="22"/>
          <w:lang w:val="es-ES_tradnl"/>
        </w:rPr>
        <w:t>humic</w:t>
      </w:r>
      <w:proofErr w:type="spellEnd"/>
      <w:r w:rsidRPr="0069420F">
        <w:rPr>
          <w:sz w:val="22"/>
          <w:szCs w:val="22"/>
          <w:lang w:val="es-ES_tradnl"/>
        </w:rPr>
        <w:t xml:space="preserve"> </w:t>
      </w:r>
      <w:proofErr w:type="spellStart"/>
      <w:r w:rsidRPr="0069420F">
        <w:rPr>
          <w:sz w:val="22"/>
          <w:szCs w:val="22"/>
          <w:lang w:val="es-ES_tradnl"/>
        </w:rPr>
        <w:t>skins</w:t>
      </w:r>
      <w:proofErr w:type="spellEnd"/>
      <w:r w:rsidRPr="0069420F">
        <w:rPr>
          <w:sz w:val="22"/>
          <w:szCs w:val="22"/>
          <w:lang w:val="es-ES_tradnl"/>
        </w:rPr>
        <w:t>") escasos; caras de fricción ("</w:t>
      </w:r>
      <w:proofErr w:type="spellStart"/>
      <w:r w:rsidRPr="0069420F">
        <w:rPr>
          <w:sz w:val="22"/>
          <w:szCs w:val="22"/>
          <w:lang w:val="es-ES_tradnl"/>
        </w:rPr>
        <w:t>slickensides</w:t>
      </w:r>
      <w:proofErr w:type="spellEnd"/>
      <w:r w:rsidRPr="0069420F">
        <w:rPr>
          <w:sz w:val="22"/>
          <w:szCs w:val="22"/>
          <w:lang w:val="es-ES_tradnl"/>
        </w:rPr>
        <w:t>") intersectadas, comunes y finas; moteados de hierro-manganeso abundantes, medios y precisos; concreciones de hierro-manganeso escasas y finas; presencia de arena gruesa en la cara de los agregados; límite gradual, ondulado.</w:t>
      </w:r>
    </w:p>
    <w:p w:rsidR="0069420F" w:rsidRPr="0069420F" w:rsidRDefault="0069420F" w:rsidP="0069420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69420F" w:rsidRPr="0069420F" w:rsidRDefault="0069420F" w:rsidP="0069420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69420F">
        <w:rPr>
          <w:b/>
          <w:sz w:val="22"/>
          <w:szCs w:val="22"/>
          <w:lang w:val="es-ES_tradnl"/>
        </w:rPr>
        <w:t>B31ca</w:t>
      </w:r>
      <w:r w:rsidRPr="0069420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69420F">
        <w:rPr>
          <w:sz w:val="22"/>
          <w:szCs w:val="22"/>
          <w:lang w:val="es-ES_tradnl"/>
        </w:rPr>
        <w:t xml:space="preserve">63-74 cm; abigarrado en húmedo; franco-arcilloso; estructura en prismas compuestos irregulares medios, moderados que rompen en bloques </w:t>
      </w:r>
      <w:proofErr w:type="spellStart"/>
      <w:r w:rsidRPr="0069420F">
        <w:rPr>
          <w:sz w:val="22"/>
          <w:szCs w:val="22"/>
          <w:lang w:val="es-ES_tradnl"/>
        </w:rPr>
        <w:t>subangulares</w:t>
      </w:r>
      <w:proofErr w:type="spellEnd"/>
      <w:r w:rsidRPr="0069420F">
        <w:rPr>
          <w:sz w:val="22"/>
          <w:szCs w:val="22"/>
          <w:lang w:val="es-ES_tradnl"/>
        </w:rPr>
        <w:t xml:space="preserve"> y bloques angulares irregulares medios, moderados; firme en húmedo; caras de fricción ("</w:t>
      </w:r>
      <w:proofErr w:type="spellStart"/>
      <w:r w:rsidRPr="0069420F">
        <w:rPr>
          <w:sz w:val="22"/>
          <w:szCs w:val="22"/>
          <w:lang w:val="es-ES_tradnl"/>
        </w:rPr>
        <w:t>slickensides</w:t>
      </w:r>
      <w:proofErr w:type="spellEnd"/>
      <w:r w:rsidRPr="0069420F">
        <w:rPr>
          <w:sz w:val="22"/>
          <w:szCs w:val="22"/>
          <w:lang w:val="es-ES_tradnl"/>
        </w:rPr>
        <w:t>") comunes, finas; moteados de hierro-manganeso abundantes, medios y  precisos; carbonatos libres en la masa comunes a abundantes; concreciones de calcio escasas; presencia de arena gruesa; límite gradual, ondulado.</w:t>
      </w:r>
    </w:p>
    <w:p w:rsidR="0069420F" w:rsidRPr="0069420F" w:rsidRDefault="0069420F" w:rsidP="0069420F">
      <w:pPr>
        <w:jc w:val="both"/>
        <w:rPr>
          <w:sz w:val="22"/>
          <w:szCs w:val="22"/>
          <w:lang w:val="es-ES_tradnl"/>
        </w:rPr>
      </w:pPr>
    </w:p>
    <w:p w:rsidR="0069420F" w:rsidRPr="0069420F" w:rsidRDefault="0069420F" w:rsidP="0069420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69420F">
        <w:rPr>
          <w:b/>
          <w:sz w:val="22"/>
          <w:szCs w:val="22"/>
          <w:lang w:val="es-ES_tradnl"/>
        </w:rPr>
        <w:t>B32ca</w:t>
      </w:r>
      <w:r w:rsidRPr="0069420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69420F">
        <w:rPr>
          <w:sz w:val="22"/>
          <w:szCs w:val="22"/>
          <w:lang w:val="es-ES_tradnl"/>
        </w:rPr>
        <w:t>74-102 cm; pardo (10YR 5/3) en húmedo; franco-arcilloso; estructura en prismas compuestos irregulares gruesos y fuertes que rompen a prismas compuestos irregulares, finos y débiles; friable en húmedo; caras de fricción ("</w:t>
      </w:r>
      <w:proofErr w:type="spellStart"/>
      <w:r w:rsidRPr="0069420F">
        <w:rPr>
          <w:sz w:val="22"/>
          <w:szCs w:val="22"/>
          <w:lang w:val="es-ES_tradnl"/>
        </w:rPr>
        <w:t>slickensides</w:t>
      </w:r>
      <w:proofErr w:type="spellEnd"/>
      <w:r w:rsidRPr="0069420F">
        <w:rPr>
          <w:sz w:val="22"/>
          <w:szCs w:val="22"/>
          <w:lang w:val="es-ES_tradnl"/>
        </w:rPr>
        <w:t xml:space="preserve">") comunes, gruesas; abundantes carbonatos libres en la masa; concreciones calcáreas escasas; moteados de hierro-manganeso abundantes, medios y precisos; </w:t>
      </w:r>
      <w:proofErr w:type="spellStart"/>
      <w:r w:rsidRPr="0069420F">
        <w:rPr>
          <w:sz w:val="22"/>
          <w:szCs w:val="22"/>
          <w:lang w:val="es-ES_tradnl"/>
        </w:rPr>
        <w:t>miscelios</w:t>
      </w:r>
      <w:proofErr w:type="spellEnd"/>
      <w:r w:rsidRPr="0069420F">
        <w:rPr>
          <w:sz w:val="22"/>
          <w:szCs w:val="22"/>
          <w:lang w:val="es-ES_tradnl"/>
        </w:rPr>
        <w:t xml:space="preserve"> de carbonatos de calcio; límite gradual, ondulado.</w:t>
      </w:r>
    </w:p>
    <w:p w:rsidR="0069420F" w:rsidRPr="0069420F" w:rsidRDefault="0069420F" w:rsidP="0069420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69420F" w:rsidRPr="0069420F" w:rsidRDefault="0069420F" w:rsidP="0069420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69420F">
        <w:rPr>
          <w:b/>
          <w:sz w:val="22"/>
          <w:szCs w:val="22"/>
          <w:lang w:val="es-ES_tradnl"/>
        </w:rPr>
        <w:t>Cg</w:t>
      </w:r>
      <w:r w:rsidRPr="0069420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69420F">
        <w:rPr>
          <w:sz w:val="22"/>
          <w:szCs w:val="22"/>
          <w:lang w:val="es-ES_tradnl"/>
        </w:rPr>
        <w:t>102 cm+; pardo pálido (10YR 6/3) en húmedo; franco-arcilloso; estructura masiva; friable en húmedo; caras de fricción ("</w:t>
      </w:r>
      <w:proofErr w:type="spellStart"/>
      <w:r w:rsidRPr="0069420F">
        <w:rPr>
          <w:sz w:val="22"/>
          <w:szCs w:val="22"/>
          <w:lang w:val="es-ES_tradnl"/>
        </w:rPr>
        <w:t>slickensides</w:t>
      </w:r>
      <w:proofErr w:type="spellEnd"/>
      <w:r w:rsidRPr="0069420F">
        <w:rPr>
          <w:sz w:val="22"/>
          <w:szCs w:val="22"/>
          <w:lang w:val="es-ES_tradnl"/>
        </w:rPr>
        <w:t>") escasas y finas; gley fósil de colores abigarrados.</w:t>
      </w:r>
    </w:p>
    <w:p w:rsidR="0069420F" w:rsidRPr="0069420F" w:rsidRDefault="0069420F" w:rsidP="0069420F">
      <w:pPr>
        <w:jc w:val="both"/>
        <w:rPr>
          <w:bCs/>
          <w:sz w:val="22"/>
          <w:szCs w:val="22"/>
          <w:lang w:val="es-ES_tradnl"/>
        </w:rPr>
      </w:pPr>
      <w:r w:rsidRPr="0069420F">
        <w:rPr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69420F" w:rsidRPr="0069420F" w:rsidRDefault="0069420F" w:rsidP="0069420F">
      <w:pPr>
        <w:ind w:firstLine="720"/>
        <w:jc w:val="both"/>
        <w:rPr>
          <w:sz w:val="22"/>
          <w:szCs w:val="22"/>
          <w:lang w:val="es-ES_tradnl"/>
        </w:rPr>
      </w:pPr>
    </w:p>
    <w:p w:rsidR="0069420F" w:rsidRPr="0069420F" w:rsidRDefault="0069420F" w:rsidP="0069420F">
      <w:pPr>
        <w:jc w:val="both"/>
        <w:rPr>
          <w:sz w:val="22"/>
          <w:szCs w:val="22"/>
          <w:lang w:val="es-ES_tradnl"/>
        </w:rPr>
      </w:pPr>
      <w:r w:rsidRPr="0069420F">
        <w:rPr>
          <w:sz w:val="22"/>
          <w:szCs w:val="22"/>
          <w:lang w:val="es-ES_tradnl"/>
        </w:rPr>
        <w:t xml:space="preserve">La variabilidad de rasgos está determinada principalmente por dos procesos: uno es la expansión y contracción del material arcilloso que da lugar a la formación incipiente del </w:t>
      </w:r>
      <w:proofErr w:type="spellStart"/>
      <w:r w:rsidRPr="0069420F">
        <w:rPr>
          <w:sz w:val="22"/>
          <w:szCs w:val="22"/>
          <w:lang w:val="es-ES_tradnl"/>
        </w:rPr>
        <w:t>gilgai</w:t>
      </w:r>
      <w:proofErr w:type="spellEnd"/>
      <w:r w:rsidRPr="0069420F">
        <w:rPr>
          <w:sz w:val="22"/>
          <w:szCs w:val="22"/>
          <w:lang w:val="es-ES_tradnl"/>
        </w:rPr>
        <w:t xml:space="preserve"> (aunque no se manifiesta como un </w:t>
      </w:r>
      <w:proofErr w:type="spellStart"/>
      <w:r w:rsidRPr="0069420F">
        <w:rPr>
          <w:sz w:val="22"/>
          <w:szCs w:val="22"/>
          <w:lang w:val="es-ES_tradnl"/>
        </w:rPr>
        <w:t>microrrelieve</w:t>
      </w:r>
      <w:proofErr w:type="spellEnd"/>
      <w:r w:rsidRPr="0069420F">
        <w:rPr>
          <w:sz w:val="22"/>
          <w:szCs w:val="22"/>
          <w:lang w:val="es-ES_tradnl"/>
        </w:rPr>
        <w:t xml:space="preserve"> visible en el terreno) y el otro, la erosión.</w:t>
      </w:r>
    </w:p>
    <w:p w:rsidR="0069420F" w:rsidRPr="0069420F" w:rsidRDefault="0069420F" w:rsidP="0069420F">
      <w:pPr>
        <w:jc w:val="both"/>
        <w:rPr>
          <w:sz w:val="22"/>
          <w:szCs w:val="22"/>
          <w:lang w:val="es-ES_tradnl"/>
        </w:rPr>
      </w:pPr>
    </w:p>
    <w:p w:rsidR="0069420F" w:rsidRPr="0069420F" w:rsidRDefault="0069420F" w:rsidP="0069420F">
      <w:pPr>
        <w:jc w:val="both"/>
        <w:rPr>
          <w:sz w:val="22"/>
          <w:szCs w:val="22"/>
          <w:lang w:val="es-ES_tradnl"/>
        </w:rPr>
      </w:pPr>
      <w:r w:rsidRPr="0069420F">
        <w:rPr>
          <w:sz w:val="22"/>
          <w:szCs w:val="22"/>
          <w:lang w:val="es-ES_tradnl"/>
        </w:rPr>
        <w:t xml:space="preserve">Otro factor que determina la alta variabilidad de rasgos de la serie es el contenido en arena (fina y media) del horizonte </w:t>
      </w:r>
      <w:proofErr w:type="spellStart"/>
      <w:r w:rsidRPr="0069420F">
        <w:rPr>
          <w:sz w:val="22"/>
          <w:szCs w:val="22"/>
          <w:lang w:val="es-ES_tradnl"/>
        </w:rPr>
        <w:t>Ap</w:t>
      </w:r>
      <w:proofErr w:type="spellEnd"/>
      <w:r w:rsidRPr="0069420F">
        <w:rPr>
          <w:sz w:val="22"/>
          <w:szCs w:val="22"/>
          <w:lang w:val="es-ES_tradnl"/>
        </w:rPr>
        <w:t xml:space="preserve">, muy variable de un </w:t>
      </w:r>
      <w:proofErr w:type="spellStart"/>
      <w:r w:rsidRPr="0069420F">
        <w:rPr>
          <w:sz w:val="22"/>
          <w:szCs w:val="22"/>
          <w:lang w:val="es-ES_tradnl"/>
        </w:rPr>
        <w:t>pedón</w:t>
      </w:r>
      <w:proofErr w:type="spellEnd"/>
      <w:r w:rsidRPr="0069420F">
        <w:rPr>
          <w:sz w:val="22"/>
          <w:szCs w:val="22"/>
          <w:lang w:val="es-ES_tradnl"/>
        </w:rPr>
        <w:t xml:space="preserve"> a otro y a corta distancia. A esto ha contribuido, además, la remoción de la superficie del suelo por la labranza mecánica, dada la asociación de estos </w:t>
      </w:r>
      <w:proofErr w:type="spellStart"/>
      <w:r w:rsidRPr="0069420F">
        <w:rPr>
          <w:sz w:val="22"/>
          <w:szCs w:val="22"/>
          <w:lang w:val="es-ES_tradnl"/>
        </w:rPr>
        <w:t>Vertisoles</w:t>
      </w:r>
      <w:proofErr w:type="spellEnd"/>
      <w:r w:rsidRPr="0069420F">
        <w:rPr>
          <w:sz w:val="22"/>
          <w:szCs w:val="22"/>
          <w:lang w:val="es-ES_tradnl"/>
        </w:rPr>
        <w:t xml:space="preserve"> con los suelos arenosos profundos que la circundan (serie Rincón de </w:t>
      </w:r>
      <w:proofErr w:type="spellStart"/>
      <w:r w:rsidRPr="0069420F">
        <w:rPr>
          <w:sz w:val="22"/>
          <w:szCs w:val="22"/>
          <w:lang w:val="es-ES_tradnl"/>
        </w:rPr>
        <w:t>Nogoyá</w:t>
      </w:r>
      <w:proofErr w:type="spellEnd"/>
      <w:r w:rsidRPr="0069420F">
        <w:rPr>
          <w:sz w:val="22"/>
          <w:szCs w:val="22"/>
          <w:lang w:val="es-ES_tradnl"/>
        </w:rPr>
        <w:t xml:space="preserve"> y otros suelos menores).</w:t>
      </w:r>
    </w:p>
    <w:p w:rsidR="0069420F" w:rsidRDefault="0069420F" w:rsidP="0069420F">
      <w:pPr>
        <w:jc w:val="both"/>
        <w:rPr>
          <w:sz w:val="22"/>
          <w:szCs w:val="22"/>
          <w:u w:val="single"/>
          <w:lang w:val="es-ES_tradnl"/>
        </w:rPr>
      </w:pPr>
    </w:p>
    <w:p w:rsidR="0069420F" w:rsidRPr="0069420F" w:rsidRDefault="0069420F" w:rsidP="0069420F">
      <w:pPr>
        <w:jc w:val="both"/>
        <w:rPr>
          <w:sz w:val="22"/>
          <w:szCs w:val="22"/>
          <w:u w:val="single"/>
          <w:lang w:val="es-ES_tradnl"/>
        </w:rPr>
      </w:pPr>
    </w:p>
    <w:p w:rsidR="0069420F" w:rsidRPr="0069420F" w:rsidRDefault="0069420F" w:rsidP="0069420F">
      <w:pPr>
        <w:jc w:val="both"/>
        <w:rPr>
          <w:bCs/>
          <w:sz w:val="22"/>
          <w:szCs w:val="22"/>
          <w:lang w:val="es-ES_tradnl"/>
        </w:rPr>
      </w:pPr>
      <w:r w:rsidRPr="0069420F">
        <w:rPr>
          <w:b/>
          <w:sz w:val="22"/>
          <w:szCs w:val="22"/>
          <w:u w:val="single"/>
          <w:lang w:val="es-ES_tradnl"/>
        </w:rPr>
        <w:t>Fases</w:t>
      </w:r>
    </w:p>
    <w:p w:rsidR="0069420F" w:rsidRPr="0069420F" w:rsidRDefault="0069420F" w:rsidP="0069420F">
      <w:pPr>
        <w:ind w:firstLine="720"/>
        <w:jc w:val="both"/>
        <w:rPr>
          <w:sz w:val="22"/>
          <w:szCs w:val="22"/>
          <w:lang w:val="es-ES_tradnl"/>
        </w:rPr>
      </w:pPr>
    </w:p>
    <w:p w:rsidR="0069420F" w:rsidRPr="0069420F" w:rsidRDefault="0069420F" w:rsidP="0069420F">
      <w:pPr>
        <w:jc w:val="both"/>
        <w:rPr>
          <w:sz w:val="22"/>
          <w:szCs w:val="22"/>
          <w:lang w:val="es-ES_tradnl"/>
        </w:rPr>
      </w:pPr>
      <w:r w:rsidRPr="0069420F">
        <w:rPr>
          <w:sz w:val="22"/>
          <w:szCs w:val="22"/>
          <w:lang w:val="es-ES_tradnl"/>
        </w:rPr>
        <w:t xml:space="preserve">No se describieron fases a nivel de reconocimiento en el departamento </w:t>
      </w:r>
      <w:proofErr w:type="spellStart"/>
      <w:r w:rsidRPr="0069420F">
        <w:rPr>
          <w:sz w:val="22"/>
          <w:szCs w:val="22"/>
          <w:lang w:val="es-ES_tradnl"/>
        </w:rPr>
        <w:t>Nogoyá</w:t>
      </w:r>
      <w:proofErr w:type="spellEnd"/>
      <w:r w:rsidRPr="0069420F">
        <w:rPr>
          <w:sz w:val="22"/>
          <w:szCs w:val="22"/>
          <w:lang w:val="es-ES_tradnl"/>
        </w:rPr>
        <w:t xml:space="preserve"> </w:t>
      </w:r>
    </w:p>
    <w:p w:rsidR="0069420F" w:rsidRDefault="0069420F" w:rsidP="0069420F">
      <w:pPr>
        <w:jc w:val="both"/>
        <w:rPr>
          <w:sz w:val="22"/>
          <w:szCs w:val="22"/>
          <w:u w:val="single"/>
          <w:lang w:val="es-ES_tradnl"/>
        </w:rPr>
      </w:pPr>
    </w:p>
    <w:p w:rsidR="0069420F" w:rsidRPr="0069420F" w:rsidRDefault="0069420F" w:rsidP="0069420F">
      <w:pPr>
        <w:jc w:val="both"/>
        <w:rPr>
          <w:sz w:val="22"/>
          <w:szCs w:val="22"/>
          <w:u w:val="single"/>
          <w:lang w:val="es-ES_tradnl"/>
        </w:rPr>
      </w:pPr>
    </w:p>
    <w:p w:rsidR="0069420F" w:rsidRPr="0069420F" w:rsidRDefault="0069420F" w:rsidP="0069420F">
      <w:pPr>
        <w:jc w:val="both"/>
        <w:rPr>
          <w:bCs/>
          <w:sz w:val="22"/>
          <w:szCs w:val="22"/>
          <w:lang w:val="es-ES_tradnl"/>
        </w:rPr>
      </w:pPr>
      <w:r w:rsidRPr="0069420F">
        <w:rPr>
          <w:b/>
          <w:sz w:val="22"/>
          <w:szCs w:val="22"/>
          <w:u w:val="single"/>
          <w:lang w:val="es-ES_tradnl"/>
        </w:rPr>
        <w:t>Series similares y sus diferencias</w:t>
      </w:r>
    </w:p>
    <w:p w:rsidR="0069420F" w:rsidRPr="0069420F" w:rsidRDefault="0069420F" w:rsidP="0069420F">
      <w:pPr>
        <w:ind w:firstLine="720"/>
        <w:jc w:val="both"/>
        <w:rPr>
          <w:sz w:val="22"/>
          <w:szCs w:val="22"/>
          <w:lang w:val="es-ES_tradnl"/>
        </w:rPr>
      </w:pPr>
    </w:p>
    <w:p w:rsidR="0069420F" w:rsidRPr="0069420F" w:rsidRDefault="0069420F" w:rsidP="0069420F">
      <w:pPr>
        <w:jc w:val="both"/>
        <w:rPr>
          <w:sz w:val="22"/>
          <w:szCs w:val="22"/>
          <w:lang w:val="es-ES_tradnl"/>
        </w:rPr>
      </w:pPr>
      <w:r w:rsidRPr="0069420F">
        <w:rPr>
          <w:sz w:val="22"/>
          <w:szCs w:val="22"/>
          <w:lang w:val="es-ES_tradnl"/>
        </w:rPr>
        <w:t xml:space="preserve">Se parece a la Serie Hernández que tiene un B2t más arcilloso y se encuentra en otro paisaje (divisorias de aguas entre el río Paraná y el </w:t>
      </w:r>
      <w:proofErr w:type="spellStart"/>
      <w:r w:rsidRPr="0069420F">
        <w:rPr>
          <w:sz w:val="22"/>
          <w:szCs w:val="22"/>
          <w:lang w:val="es-ES_tradnl"/>
        </w:rPr>
        <w:t>A°</w:t>
      </w:r>
      <w:proofErr w:type="spellEnd"/>
      <w:r w:rsidRPr="0069420F">
        <w:rPr>
          <w:sz w:val="22"/>
          <w:szCs w:val="22"/>
          <w:lang w:val="es-ES_tradnl"/>
        </w:rPr>
        <w:t xml:space="preserve"> </w:t>
      </w:r>
      <w:proofErr w:type="spellStart"/>
      <w:r w:rsidRPr="0069420F">
        <w:rPr>
          <w:sz w:val="22"/>
          <w:szCs w:val="22"/>
          <w:lang w:val="es-ES_tradnl"/>
        </w:rPr>
        <w:t>Nogoyá</w:t>
      </w:r>
      <w:proofErr w:type="spellEnd"/>
      <w:r w:rsidRPr="0069420F">
        <w:rPr>
          <w:sz w:val="22"/>
          <w:szCs w:val="22"/>
          <w:lang w:val="es-ES_tradnl"/>
        </w:rPr>
        <w:t xml:space="preserve">) y a la Serie General Ramírez (con valores más altos de arcilla en el horizonte superficial). </w:t>
      </w:r>
    </w:p>
    <w:p w:rsidR="0069420F" w:rsidRPr="0069420F" w:rsidRDefault="0069420F" w:rsidP="0069420F">
      <w:pPr>
        <w:jc w:val="both"/>
        <w:rPr>
          <w:sz w:val="22"/>
          <w:szCs w:val="22"/>
          <w:lang w:val="es-ES_tradnl"/>
        </w:rPr>
      </w:pPr>
    </w:p>
    <w:p w:rsidR="0069420F" w:rsidRPr="0069420F" w:rsidRDefault="0069420F" w:rsidP="0069420F">
      <w:pPr>
        <w:jc w:val="both"/>
        <w:rPr>
          <w:sz w:val="22"/>
          <w:szCs w:val="22"/>
          <w:u w:val="single"/>
          <w:lang w:val="es-ES_tradnl"/>
        </w:rPr>
      </w:pPr>
    </w:p>
    <w:p w:rsidR="0069420F" w:rsidRPr="0069420F" w:rsidRDefault="0069420F" w:rsidP="0069420F">
      <w:pPr>
        <w:jc w:val="both"/>
        <w:rPr>
          <w:bCs/>
          <w:sz w:val="22"/>
          <w:szCs w:val="22"/>
          <w:lang w:val="es-ES_tradnl"/>
        </w:rPr>
      </w:pPr>
      <w:r w:rsidRPr="0069420F">
        <w:rPr>
          <w:b/>
          <w:sz w:val="22"/>
          <w:szCs w:val="22"/>
          <w:u w:val="single"/>
          <w:lang w:val="es-ES_tradnl"/>
        </w:rPr>
        <w:t>Drenaje</w:t>
      </w:r>
    </w:p>
    <w:p w:rsidR="0069420F" w:rsidRPr="0069420F" w:rsidRDefault="0069420F" w:rsidP="0069420F">
      <w:pPr>
        <w:ind w:firstLine="720"/>
        <w:jc w:val="both"/>
        <w:rPr>
          <w:sz w:val="22"/>
          <w:szCs w:val="22"/>
          <w:lang w:val="es-ES_tradnl"/>
        </w:rPr>
      </w:pPr>
    </w:p>
    <w:p w:rsidR="0069420F" w:rsidRPr="0069420F" w:rsidRDefault="0069420F" w:rsidP="0069420F">
      <w:pPr>
        <w:jc w:val="both"/>
        <w:rPr>
          <w:sz w:val="22"/>
          <w:szCs w:val="22"/>
          <w:lang w:val="es-ES_tradnl"/>
        </w:rPr>
      </w:pPr>
      <w:r w:rsidRPr="0069420F">
        <w:rPr>
          <w:sz w:val="22"/>
          <w:szCs w:val="22"/>
          <w:lang w:val="es-ES_tradnl"/>
        </w:rPr>
        <w:t xml:space="preserve">Imperfectamente drenado; escurrimiento superficial medio; permeabilidad lenta; </w:t>
      </w:r>
      <w:proofErr w:type="spellStart"/>
      <w:r w:rsidRPr="0069420F">
        <w:rPr>
          <w:sz w:val="22"/>
          <w:szCs w:val="22"/>
          <w:lang w:val="es-ES_tradnl"/>
        </w:rPr>
        <w:t>napa</w:t>
      </w:r>
      <w:proofErr w:type="spellEnd"/>
      <w:r w:rsidRPr="0069420F">
        <w:rPr>
          <w:sz w:val="22"/>
          <w:szCs w:val="22"/>
          <w:lang w:val="es-ES_tradnl"/>
        </w:rPr>
        <w:t xml:space="preserve"> freática profunda. Grupo hidrológico C.</w:t>
      </w:r>
    </w:p>
    <w:p w:rsidR="0069420F" w:rsidRDefault="0069420F" w:rsidP="0069420F">
      <w:pPr>
        <w:jc w:val="both"/>
        <w:rPr>
          <w:sz w:val="22"/>
          <w:szCs w:val="22"/>
          <w:lang w:val="es-ES_tradnl"/>
        </w:rPr>
      </w:pPr>
    </w:p>
    <w:p w:rsidR="0069420F" w:rsidRPr="0069420F" w:rsidRDefault="0069420F" w:rsidP="0069420F">
      <w:pPr>
        <w:jc w:val="both"/>
        <w:rPr>
          <w:sz w:val="22"/>
          <w:szCs w:val="22"/>
          <w:lang w:val="es-ES_tradnl"/>
        </w:rPr>
      </w:pPr>
    </w:p>
    <w:p w:rsidR="0069420F" w:rsidRPr="0069420F" w:rsidRDefault="0069420F" w:rsidP="0069420F">
      <w:pPr>
        <w:jc w:val="both"/>
        <w:rPr>
          <w:bCs/>
          <w:sz w:val="22"/>
          <w:szCs w:val="22"/>
          <w:lang w:val="es-ES_tradnl"/>
        </w:rPr>
      </w:pPr>
      <w:r w:rsidRPr="0069420F">
        <w:rPr>
          <w:b/>
          <w:sz w:val="22"/>
          <w:szCs w:val="22"/>
          <w:u w:val="single"/>
          <w:lang w:val="es-ES_tradnl"/>
        </w:rPr>
        <w:t>Erosión</w:t>
      </w:r>
    </w:p>
    <w:p w:rsidR="0069420F" w:rsidRPr="0069420F" w:rsidRDefault="0069420F" w:rsidP="0069420F">
      <w:pPr>
        <w:jc w:val="both"/>
        <w:rPr>
          <w:sz w:val="22"/>
          <w:szCs w:val="22"/>
          <w:lang w:val="es-ES_tradnl"/>
        </w:rPr>
      </w:pPr>
    </w:p>
    <w:p w:rsidR="0069420F" w:rsidRPr="0069420F" w:rsidRDefault="0069420F" w:rsidP="0069420F">
      <w:pPr>
        <w:jc w:val="both"/>
        <w:rPr>
          <w:sz w:val="22"/>
          <w:szCs w:val="22"/>
        </w:rPr>
      </w:pPr>
      <w:r w:rsidRPr="0069420F">
        <w:rPr>
          <w:sz w:val="22"/>
          <w:szCs w:val="22"/>
        </w:rPr>
        <w:t xml:space="preserve">La serie Don </w:t>
      </w:r>
      <w:proofErr w:type="spellStart"/>
      <w:r w:rsidRPr="0069420F">
        <w:rPr>
          <w:sz w:val="22"/>
          <w:szCs w:val="22"/>
        </w:rPr>
        <w:t>Mercier</w:t>
      </w:r>
      <w:proofErr w:type="spellEnd"/>
      <w:r w:rsidRPr="0069420F">
        <w:rPr>
          <w:sz w:val="22"/>
          <w:szCs w:val="22"/>
        </w:rPr>
        <w:t xml:space="preserve"> presenta un grado de erosión leve a moderada (laminar, en surcos y cárcavas) y tiene un moderado peligro de erosión severa en surcos y en cárcavas profundas.</w:t>
      </w:r>
    </w:p>
    <w:p w:rsidR="0069420F" w:rsidRPr="0069420F" w:rsidRDefault="0069420F" w:rsidP="0069420F">
      <w:pPr>
        <w:ind w:firstLine="720"/>
        <w:jc w:val="both"/>
        <w:rPr>
          <w:sz w:val="22"/>
          <w:szCs w:val="22"/>
        </w:rPr>
      </w:pPr>
      <w:r w:rsidRPr="0069420F">
        <w:rPr>
          <w:sz w:val="22"/>
          <w:szCs w:val="22"/>
        </w:rPr>
        <w:br w:type="page"/>
      </w:r>
    </w:p>
    <w:p w:rsidR="0069420F" w:rsidRPr="0069420F" w:rsidRDefault="0069420F" w:rsidP="0069420F">
      <w:pPr>
        <w:rPr>
          <w:b/>
          <w:sz w:val="22"/>
          <w:szCs w:val="22"/>
          <w:u w:val="single"/>
        </w:rPr>
      </w:pPr>
      <w:r w:rsidRPr="0069420F">
        <w:rPr>
          <w:b/>
          <w:sz w:val="22"/>
          <w:szCs w:val="22"/>
          <w:u w:val="single"/>
        </w:rPr>
        <w:lastRenderedPageBreak/>
        <w:t>DATOS ANALITICOS DEL PERFIL TIPICO</w:t>
      </w:r>
    </w:p>
    <w:p w:rsidR="0069420F" w:rsidRPr="0069420F" w:rsidRDefault="0069420F" w:rsidP="0069420F">
      <w:pPr>
        <w:jc w:val="both"/>
        <w:rPr>
          <w:sz w:val="22"/>
          <w:szCs w:val="22"/>
          <w:lang w:val="es-ES_tradnl"/>
        </w:rPr>
      </w:pPr>
      <w:bookmarkStart w:id="0" w:name="_GoBack"/>
      <w:bookmarkEnd w:id="0"/>
    </w:p>
    <w:p w:rsidR="0069420F" w:rsidRPr="0069420F" w:rsidRDefault="0069420F" w:rsidP="0069420F">
      <w:pPr>
        <w:jc w:val="both"/>
        <w:rPr>
          <w:b/>
          <w:sz w:val="22"/>
          <w:szCs w:val="22"/>
          <w:lang w:val="es-ES_tradnl"/>
        </w:rPr>
      </w:pPr>
      <w:r w:rsidRPr="0069420F">
        <w:rPr>
          <w:b/>
          <w:sz w:val="22"/>
          <w:szCs w:val="22"/>
          <w:u w:val="single"/>
          <w:lang w:val="es-ES_tradnl"/>
        </w:rPr>
        <w:t xml:space="preserve">Serie Don </w:t>
      </w:r>
      <w:proofErr w:type="spellStart"/>
      <w:r w:rsidRPr="0069420F">
        <w:rPr>
          <w:b/>
          <w:sz w:val="22"/>
          <w:szCs w:val="22"/>
          <w:u w:val="single"/>
          <w:lang w:val="es-ES_tradnl"/>
        </w:rPr>
        <w:t>Mercier</w:t>
      </w:r>
      <w:proofErr w:type="spellEnd"/>
    </w:p>
    <w:p w:rsidR="0069420F" w:rsidRPr="0069420F" w:rsidRDefault="0069420F" w:rsidP="0069420F">
      <w:pPr>
        <w:jc w:val="both"/>
        <w:rPr>
          <w:sz w:val="22"/>
          <w:szCs w:val="22"/>
          <w:lang w:val="es-ES_tradnl"/>
        </w:rPr>
      </w:pPr>
    </w:p>
    <w:p w:rsidR="0069420F" w:rsidRPr="0069420F" w:rsidRDefault="0069420F" w:rsidP="0069420F">
      <w:pPr>
        <w:jc w:val="both"/>
        <w:rPr>
          <w:sz w:val="22"/>
          <w:szCs w:val="22"/>
          <w:lang w:val="es-ES_tradnl"/>
        </w:rPr>
      </w:pPr>
      <w:r w:rsidRPr="0069420F">
        <w:rPr>
          <w:sz w:val="22"/>
          <w:szCs w:val="22"/>
          <w:lang w:val="es-ES_tradnl"/>
        </w:rPr>
        <w:t>ER7</w:t>
      </w:r>
      <w:r w:rsidRPr="0069420F">
        <w:rPr>
          <w:sz w:val="22"/>
          <w:szCs w:val="22"/>
          <w:lang w:val="es-ES_tradnl"/>
        </w:rPr>
        <w:noBreakHyphen/>
        <w:t>104C</w:t>
      </w: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4"/>
        <w:gridCol w:w="874"/>
        <w:gridCol w:w="1016"/>
        <w:gridCol w:w="992"/>
        <w:gridCol w:w="1134"/>
        <w:gridCol w:w="1276"/>
        <w:gridCol w:w="1134"/>
        <w:gridCol w:w="1134"/>
        <w:gridCol w:w="1275"/>
      </w:tblGrid>
      <w:tr w:rsidR="0069420F" w:rsidRPr="0069420F" w:rsidTr="006C18E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both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10.469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10.470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10.471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10.472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10.473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10.474</w:t>
            </w:r>
          </w:p>
        </w:tc>
      </w:tr>
      <w:tr w:rsidR="0069420F" w:rsidRPr="0069420F" w:rsidTr="006C18E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both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B31ca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B32ca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Cg</w:t>
            </w:r>
          </w:p>
        </w:tc>
      </w:tr>
      <w:tr w:rsidR="0069420F" w:rsidRPr="0069420F" w:rsidTr="006C18E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both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 xml:space="preserve">Profundidad (cm)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02</w:t>
            </w:r>
            <w:r w:rsidRPr="0069420F">
              <w:rPr>
                <w:sz w:val="22"/>
                <w:szCs w:val="22"/>
                <w:lang w:val="es-ES_tradnl"/>
              </w:rPr>
              <w:noBreakHyphen/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30-42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50-60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63-73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80-95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110-120</w:t>
            </w:r>
          </w:p>
        </w:tc>
      </w:tr>
      <w:tr w:rsidR="0069420F" w:rsidRPr="0069420F" w:rsidTr="006C18E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both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 xml:space="preserve">Materia orgánica (%)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3.41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1.21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0.78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0.71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0.35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0.07</w:t>
            </w:r>
          </w:p>
        </w:tc>
      </w:tr>
      <w:tr w:rsidR="0069420F" w:rsidRPr="0069420F" w:rsidTr="006C18E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both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 xml:space="preserve">N (%)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0.19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0.07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0.06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0.07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0.04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0.00</w:t>
            </w:r>
          </w:p>
        </w:tc>
      </w:tr>
      <w:tr w:rsidR="0069420F" w:rsidRPr="0069420F" w:rsidTr="006C18E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both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13</w:t>
            </w:r>
          </w:p>
        </w:tc>
      </w:tr>
      <w:tr w:rsidR="0069420F" w:rsidRPr="0069420F" w:rsidTr="006C18E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69420F" w:rsidRPr="0069420F" w:rsidRDefault="0069420F" w:rsidP="0069420F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               &lt; 2 </w:t>
            </w:r>
            <w:r w:rsidRPr="0069420F">
              <w:rPr>
                <w:sz w:val="22"/>
                <w:szCs w:val="22"/>
                <w:lang w:val="en-US"/>
              </w:rPr>
              <w:t xml:space="preserve">µ 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21.17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35.0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33.10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32.28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32.00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38.88</w:t>
            </w:r>
          </w:p>
        </w:tc>
      </w:tr>
      <w:tr w:rsidR="0069420F" w:rsidRPr="0069420F" w:rsidTr="006C18E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both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 xml:space="preserve">E      </w:t>
            </w:r>
            <w:r>
              <w:rPr>
                <w:sz w:val="22"/>
                <w:szCs w:val="22"/>
                <w:lang w:val="es-ES_tradnl"/>
              </w:rPr>
              <w:t xml:space="preserve">       </w:t>
            </w:r>
            <w:r w:rsidRPr="0069420F">
              <w:rPr>
                <w:sz w:val="22"/>
                <w:szCs w:val="22"/>
                <w:lang w:val="es-ES_tradnl"/>
              </w:rPr>
              <w:t>2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69420F">
              <w:rPr>
                <w:sz w:val="22"/>
                <w:szCs w:val="22"/>
                <w:lang w:val="es-ES_tradnl"/>
              </w:rPr>
              <w:t>20 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20.32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16.01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16.00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17.14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16.21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20.14</w:t>
            </w:r>
          </w:p>
        </w:tc>
      </w:tr>
      <w:tr w:rsidR="0069420F" w:rsidRPr="0069420F" w:rsidTr="006C18E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both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 xml:space="preserve">X      </w:t>
            </w:r>
            <w:r>
              <w:rPr>
                <w:sz w:val="22"/>
                <w:szCs w:val="22"/>
                <w:lang w:val="es-ES_tradnl"/>
              </w:rPr>
              <w:t xml:space="preserve">      </w:t>
            </w:r>
            <w:r w:rsidRPr="0069420F">
              <w:rPr>
                <w:sz w:val="22"/>
                <w:szCs w:val="22"/>
                <w:lang w:val="es-ES_tradnl"/>
              </w:rPr>
              <w:t>2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69420F">
              <w:rPr>
                <w:sz w:val="22"/>
                <w:szCs w:val="22"/>
                <w:lang w:val="es-ES_tradnl"/>
              </w:rPr>
              <w:t>50 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38.21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30.59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30.16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31.32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30.22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36.36</w:t>
            </w:r>
          </w:p>
        </w:tc>
      </w:tr>
      <w:tr w:rsidR="0069420F" w:rsidRPr="0069420F" w:rsidTr="006C18E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both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 xml:space="preserve">T     </w:t>
            </w:r>
            <w:r>
              <w:rPr>
                <w:sz w:val="22"/>
                <w:szCs w:val="22"/>
                <w:lang w:val="es-ES_tradnl"/>
              </w:rPr>
              <w:t xml:space="preserve">   </w:t>
            </w:r>
            <w:r w:rsidRPr="0069420F">
              <w:rPr>
                <w:sz w:val="22"/>
                <w:szCs w:val="22"/>
                <w:lang w:val="es-ES_tradnl"/>
              </w:rPr>
              <w:t>50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69420F">
              <w:rPr>
                <w:sz w:val="22"/>
                <w:szCs w:val="22"/>
                <w:lang w:val="es-ES_tradnl"/>
              </w:rPr>
              <w:t>100 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0.61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0.08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0.25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0.37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0.31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0.37</w:t>
            </w:r>
          </w:p>
        </w:tc>
      </w:tr>
      <w:tr w:rsidR="0069420F" w:rsidRPr="0069420F" w:rsidTr="006C18E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both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 xml:space="preserve">U    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69420F">
              <w:rPr>
                <w:sz w:val="22"/>
                <w:szCs w:val="22"/>
                <w:lang w:val="es-ES_tradnl"/>
              </w:rPr>
              <w:t>100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69420F">
              <w:rPr>
                <w:sz w:val="22"/>
                <w:szCs w:val="22"/>
                <w:lang w:val="es-ES_tradnl"/>
              </w:rPr>
              <w:t xml:space="preserve">250 µ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38.68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32.30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30.54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34.42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35.80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23.12</w:t>
            </w:r>
          </w:p>
        </w:tc>
      </w:tr>
      <w:tr w:rsidR="0069420F" w:rsidRPr="0069420F" w:rsidTr="006C18E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both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 xml:space="preserve">R    </w:t>
            </w:r>
            <w:r>
              <w:rPr>
                <w:sz w:val="22"/>
                <w:szCs w:val="22"/>
                <w:lang w:val="es-ES_tradnl"/>
              </w:rPr>
              <w:t xml:space="preserve">  </w:t>
            </w:r>
            <w:r w:rsidRPr="0069420F">
              <w:rPr>
                <w:sz w:val="22"/>
                <w:szCs w:val="22"/>
                <w:lang w:val="es-ES_tradnl"/>
              </w:rPr>
              <w:t>250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69420F">
              <w:rPr>
                <w:sz w:val="22"/>
                <w:szCs w:val="22"/>
                <w:lang w:val="es-ES_tradnl"/>
              </w:rPr>
              <w:t>500 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69420F" w:rsidRPr="0069420F" w:rsidTr="006C18E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9420F" w:rsidRPr="0069420F" w:rsidRDefault="0069420F" w:rsidP="0069420F">
            <w:pPr>
              <w:jc w:val="both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A    500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69420F">
              <w:rPr>
                <w:sz w:val="22"/>
                <w:szCs w:val="22"/>
                <w:lang w:val="es-ES_tradnl"/>
              </w:rPr>
              <w:t>1000 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1.32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2.02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5.94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1.59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1.64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1.22</w:t>
            </w:r>
          </w:p>
        </w:tc>
      </w:tr>
      <w:tr w:rsidR="0069420F" w:rsidRPr="0069420F" w:rsidTr="006C18E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69420F" w:rsidRPr="0069420F" w:rsidRDefault="0069420F" w:rsidP="0069420F">
            <w:pPr>
              <w:jc w:val="both"/>
              <w:rPr>
                <w:sz w:val="22"/>
                <w:szCs w:val="22"/>
                <w:lang w:val="en-US"/>
              </w:rPr>
            </w:pPr>
            <w:proofErr w:type="gramStart"/>
            <w:r w:rsidRPr="0069420F">
              <w:rPr>
                <w:sz w:val="22"/>
                <w:szCs w:val="22"/>
                <w:lang w:val="en-US"/>
              </w:rPr>
              <w:t>CO3Ca(</w:t>
            </w:r>
            <w:proofErr w:type="gramEnd"/>
            <w:r w:rsidRPr="0069420F">
              <w:rPr>
                <w:sz w:val="22"/>
                <w:szCs w:val="22"/>
                <w:lang w:val="en-US"/>
              </w:rPr>
              <w:t>%)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0.5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0.9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5.5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3.3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0.6</w:t>
            </w:r>
          </w:p>
        </w:tc>
      </w:tr>
      <w:tr w:rsidR="0069420F" w:rsidRPr="0069420F" w:rsidTr="006C18E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both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5.1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5.9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7.6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8.0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8.0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7.7</w:t>
            </w:r>
          </w:p>
        </w:tc>
      </w:tr>
      <w:tr w:rsidR="0069420F" w:rsidRPr="0069420F" w:rsidTr="006C18E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both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69420F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</w:rPr>
            </w:pPr>
            <w:r w:rsidRPr="0069420F">
              <w:rPr>
                <w:sz w:val="22"/>
                <w:szCs w:val="22"/>
              </w:rPr>
              <w:t>4.6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</w:rPr>
            </w:pPr>
            <w:r w:rsidRPr="0069420F">
              <w:rPr>
                <w:sz w:val="22"/>
                <w:szCs w:val="22"/>
              </w:rPr>
              <w:t>5.0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</w:rPr>
            </w:pPr>
            <w:r w:rsidRPr="0069420F">
              <w:rPr>
                <w:sz w:val="22"/>
                <w:szCs w:val="22"/>
              </w:rPr>
              <w:t>6.6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</w:rPr>
            </w:pPr>
            <w:r w:rsidRPr="0069420F">
              <w:rPr>
                <w:sz w:val="22"/>
                <w:szCs w:val="22"/>
              </w:rPr>
              <w:t>6.9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</w:rPr>
            </w:pPr>
            <w:r w:rsidRPr="0069420F">
              <w:rPr>
                <w:sz w:val="22"/>
                <w:szCs w:val="22"/>
              </w:rPr>
              <w:t>6.9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</w:rPr>
            </w:pPr>
            <w:r w:rsidRPr="0069420F">
              <w:rPr>
                <w:sz w:val="22"/>
                <w:szCs w:val="22"/>
              </w:rPr>
              <w:t>6.5</w:t>
            </w:r>
          </w:p>
        </w:tc>
      </w:tr>
      <w:tr w:rsidR="0069420F" w:rsidRPr="0069420F" w:rsidTr="006C18E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 w:rsidRPr="0069420F">
              <w:rPr>
                <w:sz w:val="22"/>
                <w:szCs w:val="22"/>
              </w:rPr>
              <w:t xml:space="preserve">Conductividad eléctrica </w:t>
            </w:r>
            <w:proofErr w:type="spellStart"/>
            <w:r w:rsidRPr="0069420F">
              <w:rPr>
                <w:sz w:val="22"/>
                <w:szCs w:val="22"/>
              </w:rPr>
              <w:t>mmhos</w:t>
            </w:r>
            <w:proofErr w:type="spellEnd"/>
            <w:r w:rsidRPr="0069420F">
              <w:rPr>
                <w:sz w:val="22"/>
                <w:szCs w:val="22"/>
              </w:rPr>
              <w:t>/cm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</w:rPr>
            </w:pPr>
            <w:r w:rsidRPr="0069420F">
              <w:rPr>
                <w:sz w:val="22"/>
                <w:szCs w:val="22"/>
              </w:rPr>
              <w:t>0.469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</w:rPr>
            </w:pPr>
            <w:r w:rsidRPr="0069420F">
              <w:rPr>
                <w:sz w:val="22"/>
                <w:szCs w:val="22"/>
              </w:rPr>
              <w:t>0.315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</w:rPr>
            </w:pPr>
            <w:r w:rsidRPr="0069420F">
              <w:rPr>
                <w:sz w:val="22"/>
                <w:szCs w:val="22"/>
              </w:rPr>
              <w:t>0.654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</w:rPr>
            </w:pPr>
            <w:r w:rsidRPr="0069420F">
              <w:rPr>
                <w:sz w:val="22"/>
                <w:szCs w:val="22"/>
              </w:rPr>
              <w:t>0.611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</w:rPr>
            </w:pPr>
            <w:r w:rsidRPr="0069420F">
              <w:rPr>
                <w:sz w:val="22"/>
                <w:szCs w:val="22"/>
              </w:rPr>
              <w:t>0.577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</w:rPr>
            </w:pPr>
            <w:r w:rsidRPr="0069420F">
              <w:rPr>
                <w:sz w:val="22"/>
                <w:szCs w:val="22"/>
              </w:rPr>
              <w:t>0.527</w:t>
            </w:r>
          </w:p>
        </w:tc>
      </w:tr>
      <w:tr w:rsidR="0069420F" w:rsidRPr="0069420F" w:rsidTr="006C18E2">
        <w:tblPrEx>
          <w:tblCellMar>
            <w:top w:w="0" w:type="dxa"/>
            <w:bottom w:w="0" w:type="dxa"/>
          </w:tblCellMar>
        </w:tblPrEx>
        <w:tc>
          <w:tcPr>
            <w:tcW w:w="2764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69420F" w:rsidRPr="0069420F" w:rsidRDefault="0069420F" w:rsidP="0069420F">
            <w:pPr>
              <w:jc w:val="both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Capacidad de intercambio</w:t>
            </w:r>
          </w:p>
          <w:p w:rsidR="0069420F" w:rsidRPr="0069420F" w:rsidRDefault="0069420F" w:rsidP="0069420F">
            <w:pPr>
              <w:jc w:val="both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Catiónico (</w:t>
            </w:r>
            <w:proofErr w:type="spellStart"/>
            <w:r w:rsidRPr="0069420F">
              <w:rPr>
                <w:sz w:val="22"/>
                <w:szCs w:val="22"/>
                <w:lang w:val="es-ES_tradnl"/>
              </w:rPr>
              <w:t>meq</w:t>
            </w:r>
            <w:proofErr w:type="spellEnd"/>
            <w:r w:rsidRPr="0069420F">
              <w:rPr>
                <w:sz w:val="22"/>
                <w:szCs w:val="22"/>
                <w:lang w:val="es-ES_tradnl"/>
              </w:rPr>
              <w:t>/100 g) =</w:t>
            </w:r>
          </w:p>
          <w:p w:rsidR="0069420F" w:rsidRPr="0069420F" w:rsidRDefault="0069420F" w:rsidP="0069420F">
            <w:pPr>
              <w:jc w:val="both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 xml:space="preserve">valor T 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24.66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36.44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34.52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31.22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31.66D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38.12</w:t>
            </w: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69420F" w:rsidRPr="0069420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17.76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29.32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29.50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26.60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26.14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32.12</w:t>
            </w:r>
          </w:p>
        </w:tc>
      </w:tr>
      <w:tr w:rsidR="0069420F" w:rsidRPr="0069420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69420F" w:rsidRPr="0069420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Mg++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1.20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1.30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1.46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1.82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2.08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2.86</w:t>
            </w:r>
          </w:p>
        </w:tc>
      </w:tr>
      <w:tr w:rsidR="0069420F" w:rsidRPr="0069420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69420F" w:rsidRPr="0069420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rPr>
                <w:sz w:val="22"/>
                <w:szCs w:val="22"/>
                <w:lang w:val="en-US"/>
              </w:rPr>
            </w:pPr>
            <w:proofErr w:type="spellStart"/>
            <w:r w:rsidRPr="0069420F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K+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1.46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1.28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1.32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1.28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1.30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1.36</w:t>
            </w:r>
          </w:p>
        </w:tc>
      </w:tr>
      <w:tr w:rsidR="0069420F" w:rsidRPr="0069420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69420F" w:rsidRPr="0069420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rPr>
                <w:sz w:val="22"/>
                <w:szCs w:val="22"/>
                <w:lang w:val="es-ES_tradnl"/>
              </w:rPr>
            </w:pPr>
            <w:proofErr w:type="spellStart"/>
            <w:r w:rsidRPr="0069420F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69420F">
              <w:rPr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0.46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0.56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1.15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1.50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1.75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1.50</w:t>
            </w:r>
          </w:p>
        </w:tc>
      </w:tr>
      <w:tr w:rsidR="0069420F" w:rsidRPr="0069420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rPr>
                <w:sz w:val="22"/>
                <w:szCs w:val="22"/>
                <w:lang w:val="en-US"/>
              </w:rPr>
            </w:pPr>
            <w:proofErr w:type="spellStart"/>
            <w:r w:rsidRPr="0069420F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69420F" w:rsidRPr="0069420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 xml:space="preserve">N.D. </w:t>
            </w:r>
          </w:p>
        </w:tc>
      </w:tr>
      <w:tr w:rsidR="0069420F" w:rsidRPr="0069420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rPr>
                <w:sz w:val="22"/>
                <w:szCs w:val="22"/>
                <w:lang w:val="es-ES_tradnl"/>
              </w:rPr>
            </w:pPr>
          </w:p>
          <w:p w:rsidR="0069420F" w:rsidRPr="0069420F" w:rsidRDefault="0069420F" w:rsidP="0069420F">
            <w:pPr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69420F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69420F">
              <w:rPr>
                <w:sz w:val="22"/>
                <w:szCs w:val="22"/>
                <w:lang w:val="es-ES_tradnl"/>
              </w:rPr>
              <w:t xml:space="preserve">/T 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1.86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1.53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3.33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4.80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5.53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n-US"/>
              </w:rPr>
            </w:pPr>
            <w:r w:rsidRPr="0069420F">
              <w:rPr>
                <w:sz w:val="22"/>
                <w:szCs w:val="22"/>
                <w:lang w:val="en-US"/>
              </w:rPr>
              <w:t>3.94</w:t>
            </w:r>
          </w:p>
        </w:tc>
      </w:tr>
      <w:tr w:rsidR="0069420F" w:rsidRPr="0069420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21.59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34.72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33.62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30.29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30.73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38.30</w:t>
            </w:r>
          </w:p>
        </w:tc>
      </w:tr>
      <w:tr w:rsidR="0069420F" w:rsidRPr="0069420F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9420F" w:rsidRPr="0069420F" w:rsidRDefault="0069420F" w:rsidP="0069420F">
            <w:pPr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Fósforo asimilable (ppm P</w:t>
            </w:r>
            <w:r w:rsidRPr="0069420F">
              <w:rPr>
                <w:sz w:val="22"/>
                <w:szCs w:val="22"/>
                <w:vertAlign w:val="subscript"/>
                <w:lang w:val="es-ES_tradnl"/>
              </w:rPr>
              <w:t>2</w:t>
            </w:r>
            <w:r w:rsidRPr="0069420F">
              <w:rPr>
                <w:sz w:val="22"/>
                <w:szCs w:val="22"/>
                <w:lang w:val="es-ES_tradnl"/>
              </w:rPr>
              <w:t>O</w:t>
            </w:r>
            <w:r w:rsidRPr="0069420F">
              <w:rPr>
                <w:sz w:val="22"/>
                <w:szCs w:val="22"/>
                <w:vertAlign w:val="subscript"/>
                <w:lang w:val="es-ES_tradnl"/>
              </w:rPr>
              <w:t>5</w:t>
            </w:r>
            <w:r w:rsidRPr="0069420F">
              <w:rPr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2.36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1.12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1.10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9420F" w:rsidRPr="0069420F" w:rsidRDefault="0069420F" w:rsidP="0069420F">
            <w:pPr>
              <w:jc w:val="center"/>
              <w:rPr>
                <w:sz w:val="22"/>
                <w:szCs w:val="22"/>
                <w:lang w:val="es-ES_tradnl"/>
              </w:rPr>
            </w:pPr>
            <w:r w:rsidRPr="0069420F">
              <w:rPr>
                <w:sz w:val="22"/>
                <w:szCs w:val="22"/>
                <w:lang w:val="es-ES_tradnl"/>
              </w:rPr>
              <w:t>-</w:t>
            </w:r>
          </w:p>
        </w:tc>
      </w:tr>
    </w:tbl>
    <w:p w:rsidR="0069420F" w:rsidRPr="0069420F" w:rsidRDefault="0069420F" w:rsidP="0069420F">
      <w:pPr>
        <w:jc w:val="both"/>
        <w:rPr>
          <w:sz w:val="22"/>
          <w:szCs w:val="22"/>
          <w:lang w:val="es-ES_tradnl"/>
        </w:rPr>
      </w:pPr>
    </w:p>
    <w:p w:rsidR="0069420F" w:rsidRPr="0069420F" w:rsidRDefault="0069420F" w:rsidP="0069420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69420F" w:rsidRPr="0069420F" w:rsidRDefault="0069420F" w:rsidP="0069420F">
      <w:pPr>
        <w:jc w:val="both"/>
        <w:rPr>
          <w:sz w:val="22"/>
          <w:szCs w:val="22"/>
          <w:lang w:val="es-ES_tradnl"/>
        </w:rPr>
      </w:pPr>
      <w:r w:rsidRPr="0069420F">
        <w:rPr>
          <w:sz w:val="22"/>
          <w:szCs w:val="22"/>
          <w:lang w:val="es-ES_tradnl"/>
        </w:rPr>
        <w:t>N.D.= No determinado.</w:t>
      </w:r>
    </w:p>
    <w:p w:rsidR="006F30C6" w:rsidRPr="0069420F" w:rsidRDefault="006F30C6" w:rsidP="0069420F">
      <w:pPr>
        <w:rPr>
          <w:sz w:val="22"/>
          <w:szCs w:val="22"/>
        </w:rPr>
      </w:pPr>
    </w:p>
    <w:sectPr w:rsidR="006F30C6" w:rsidRPr="006942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20F"/>
    <w:rsid w:val="0069420F"/>
    <w:rsid w:val="006F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69420F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9420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69420F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69420F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69420F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9420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69420F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69420F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920</Words>
  <Characters>5064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2014-02-05T12:39:00Z</dcterms:created>
  <dcterms:modified xsi:type="dcterms:W3CDTF">2014-02-05T12:44:00Z</dcterms:modified>
</cp:coreProperties>
</file>