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color w:val="201B16"/>
          <w:sz w:val="48"/>
        </w:rPr>
        <w:t>Website Implementation Roadmap</w:t>
      </w:r>
    </w:p>
    <w:p>
      <w:pPr>
        <w:spacing w:before="0" w:after="280"/>
      </w:pPr>
      <w:r>
        <w:rPr>
          <w:rFonts w:ascii="Calibri" w:hAnsi="Calibri"/>
          <w:b/>
          <w:color w:val="8C4A12"/>
          <w:sz w:val="26"/>
        </w:rPr>
        <w:t>Current-state audit, immediate improvements, and 12-month delivery plan</w:t>
      </w:r>
    </w:p>
    <w:p>
      <w:pPr>
        <w:spacing w:before="0" w:after="80" w:line="264" w:lineRule="auto"/>
      </w:pPr>
      <w:r>
        <w:rPr>
          <w:rFonts w:ascii="Calibri" w:hAnsi="Calibri"/>
          <w:b/>
          <w:color w:val="201B16"/>
          <w:sz w:val="21"/>
        </w:rPr>
        <w:t xml:space="preserve">Prepared for: </w:t>
      </w:r>
      <w:r>
        <w:rPr>
          <w:rFonts w:ascii="Calibri" w:hAnsi="Calibri"/>
          <w:color w:val="5F5850"/>
          <w:sz w:val="21"/>
        </w:rPr>
        <w:t>Shrish LLC</w:t>
      </w:r>
    </w:p>
    <w:p>
      <w:pPr>
        <w:spacing w:before="0" w:after="80" w:line="264" w:lineRule="auto"/>
      </w:pPr>
      <w:r>
        <w:rPr>
          <w:rFonts w:ascii="Calibri" w:hAnsi="Calibri"/>
          <w:b/>
          <w:color w:val="201B16"/>
          <w:sz w:val="21"/>
        </w:rPr>
        <w:t xml:space="preserve">Audit date: </w:t>
      </w:r>
      <w:r>
        <w:rPr>
          <w:rFonts w:ascii="Calibri" w:hAnsi="Calibri"/>
          <w:color w:val="5F5850"/>
          <w:sz w:val="21"/>
        </w:rPr>
        <w:t>July 27, 2026</w:t>
      </w:r>
    </w:p>
    <w:p>
      <w:pPr>
        <w:spacing w:before="0" w:after="80" w:line="264" w:lineRule="auto"/>
      </w:pPr>
      <w:r>
        <w:rPr>
          <w:rFonts w:ascii="Calibri" w:hAnsi="Calibri"/>
          <w:b/>
          <w:color w:val="201B16"/>
          <w:sz w:val="21"/>
        </w:rPr>
        <w:t xml:space="preserve">Repository baseline: </w:t>
      </w:r>
      <w:r>
        <w:rPr>
          <w:rFonts w:ascii="Calibri" w:hAnsi="Calibri"/>
          <w:color w:val="5F5850"/>
          <w:sz w:val="21"/>
        </w:rPr>
        <w:t>Latest production main plus verified Madatha Kaja and Samosa Putharekulu image fixes</w:t>
      </w:r>
    </w:p>
    <w:p>
      <w:pPr>
        <w:spacing w:before="0" w:after="200" w:line="264" w:lineRule="auto"/>
      </w:pPr>
      <w:r>
        <w:rPr>
          <w:rFonts w:ascii="Calibri" w:hAnsi="Calibri"/>
          <w:b/>
          <w:color w:val="201B16"/>
          <w:sz w:val="21"/>
        </w:rPr>
        <w:t xml:space="preserve">Estimate basis: </w:t>
      </w:r>
      <w:r>
        <w:rPr>
          <w:rFonts w:ascii="Calibri" w:hAnsi="Calibri"/>
          <w:color w:val="5F5850"/>
          <w:sz w:val="21"/>
        </w:rPr>
        <w:t>One experienced full-stack developer with owner review; vendor approval time excluded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FF4D9"/>
          <w:left w:val="single" w:sz="4" w:color="FFF4D9"/>
          <w:bottom w:val="single" w:sz="4" w:color="FFF4D9"/>
          <w:right w:val="single" w:sz="4" w:color="FFF4D9"/>
          <w:insideH w:val="single" w:sz="4" w:color="FFF4D9"/>
          <w:insideV w:val="single" w:sz="4" w:color="FFF4D9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shd w:fill="FFF4D9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BD7D12"/>
                <w:sz w:val="20"/>
              </w:rPr>
              <w:t xml:space="preserve">OVERALL ASSESSMENT  </w:t>
            </w:r>
            <w:r>
              <w:rPr>
                <w:rFonts w:ascii="Calibri" w:hAnsi="Calibri"/>
                <w:color w:val="201B16"/>
                <w:sz w:val="20"/>
              </w:rPr>
              <w:t>Commerce foundation is strong. Prioritize release discipline, abuse protection, automated checkout testing, accessibility, and image performance before adding major customer features.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Current-state snapshot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D2C8"/>
          <w:left w:val="single" w:sz="6" w:color="D8D2C8"/>
          <w:bottom w:val="single" w:sz="6" w:color="D8D2C8"/>
          <w:right w:val="single" w:sz="6" w:color="D8D2C8"/>
          <w:insideH w:val="single" w:sz="6" w:color="D8D2C8"/>
          <w:insideV w:val="single" w:sz="6" w:color="D8D2C8"/>
        </w:tblBorders>
      </w:tblPr>
      <w:tblGrid>
        <w:gridCol w:w="1450"/>
        <w:gridCol w:w="1150"/>
        <w:gridCol w:w="4260"/>
        <w:gridCol w:w="2500"/>
      </w:tblGrid>
      <w:tr>
        <w:trPr>
          <w:tblHeader w:val="true"/>
          <w:cantSplit w:val="true"/>
        </w:trPr>
        <w:tc>
          <w:tcPr>
            <w:tcW w:type="dxa" w:w="1450"/>
            <w:shd w:fill="F7E9D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01B16"/>
                <w:sz w:val="18"/>
              </w:rPr>
              <w:t>Area</w:t>
            </w:r>
          </w:p>
        </w:tc>
        <w:tc>
          <w:tcPr>
            <w:tcW w:type="dxa" w:w="1150"/>
            <w:shd w:fill="F7E9D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01B16"/>
                <w:sz w:val="18"/>
              </w:rPr>
              <w:t>Status</w:t>
            </w:r>
          </w:p>
        </w:tc>
        <w:tc>
          <w:tcPr>
            <w:tcW w:type="dxa" w:w="4260"/>
            <w:shd w:fill="F7E9D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01B16"/>
                <w:sz w:val="18"/>
              </w:rPr>
              <w:t>Evidence</w:t>
            </w:r>
          </w:p>
        </w:tc>
        <w:tc>
          <w:tcPr>
            <w:tcW w:type="dxa" w:w="2500"/>
            <w:shd w:fill="F7E9D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01B16"/>
                <w:sz w:val="18"/>
              </w:rPr>
              <w:t>Immediate direction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Commerce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Strong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Stripe pricing is server-authoritative; refunds, tax, shipping, accounts, and admin workflows exist.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Protect and regression-test.</w:t>
            </w:r>
          </w:p>
        </w:tc>
      </w:tr>
      <w:tr>
        <w:trPr>
          <w:cantSplit w:val="true"/>
        </w:trPr>
        <w:tc>
          <w:tcPr>
            <w:tcW w:type="dxa" w:w="145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SEO</w:t>
            </w:r>
          </w:p>
        </w:tc>
        <w:tc>
          <w:tcPr>
            <w:tcW w:type="dxa" w:w="115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Good</w:t>
            </w:r>
          </w:p>
        </w:tc>
        <w:tc>
          <w:tcPr>
            <w:tcW w:type="dxa" w:w="426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80 sitemap URLs, valid JSON-LD, product pages, merchant feed, titles, descriptions, and image alt text.</w:t>
            </w:r>
          </w:p>
        </w:tc>
        <w:tc>
          <w:tcPr>
            <w:tcW w:type="dxa" w:w="250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Improve rich results and local landing pages.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Security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Needs work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Security headers were incomplete; App Check is not enabled; selected Firestore creates remain public.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Harden before traffic growth.</w:t>
            </w:r>
          </w:p>
        </w:tc>
      </w:tr>
      <w:tr>
        <w:trPr>
          <w:cantSplit w:val="true"/>
        </w:trPr>
        <w:tc>
          <w:tcPr>
            <w:tcW w:type="dxa" w:w="145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Performance</w:t>
            </w:r>
          </w:p>
        </w:tc>
        <w:tc>
          <w:tcPr>
            <w:tcW w:type="dxa" w:w="115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Needs work</w:t>
            </w:r>
          </w:p>
        </w:tc>
        <w:tc>
          <w:tcPr>
            <w:tcW w:type="dxa" w:w="426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25.62 MB across 85 images; five images exceed 1 MB; large admin/order scripts remain monolithic.</w:t>
            </w:r>
          </w:p>
        </w:tc>
        <w:tc>
          <w:tcPr>
            <w:tcW w:type="dxa" w:w="250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Optimize media and split code.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Accessibility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Partial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Alt text and reduced-motion support exist, but no audited page has a skip-to-content link.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Complete WCAG 2.2 AA pass.</w:t>
            </w:r>
          </w:p>
        </w:tc>
      </w:tr>
      <w:tr>
        <w:trPr>
          <w:cantSplit w:val="true"/>
        </w:trPr>
        <w:tc>
          <w:tcPr>
            <w:tcW w:type="dxa" w:w="145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Quality</w:t>
            </w:r>
          </w:p>
        </w:tc>
        <w:tc>
          <w:tcPr>
            <w:tcW w:type="dxa" w:w="115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Improved now</w:t>
            </w:r>
          </w:p>
        </w:tc>
        <w:tc>
          <w:tcPr>
            <w:tcW w:type="dxa" w:w="426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No repeatable repository-wide HTML/catalog audit existed before this task.</w:t>
            </w:r>
          </w:p>
        </w:tc>
        <w:tc>
          <w:tcPr>
            <w:tcW w:type="dxa" w:w="250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Add browser and emulator coverage.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Operations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High risk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Both dev and developement branches exist and have diverged.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Choose one release path.</w:t>
            </w:r>
          </w:p>
        </w:tc>
      </w:tr>
    </w:tbl>
    <w:p>
      <w:pPr>
        <w:spacing w:before="0" w:after="60"/>
      </w:pPr>
    </w:p>
    <w:p>
      <w:pPr>
        <w:pStyle w:val="Heading1"/>
        <w:keepNext/>
      </w:pPr>
      <w:r>
        <w:t>2. Implemented now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D2C8"/>
          <w:left w:val="single" w:sz="6" w:color="D8D2C8"/>
          <w:bottom w:val="single" w:sz="6" w:color="D8D2C8"/>
          <w:right w:val="single" w:sz="6" w:color="D8D2C8"/>
          <w:insideH w:val="single" w:sz="6" w:color="D8D2C8"/>
          <w:insideV w:val="single" w:sz="6" w:color="D8D2C8"/>
        </w:tblBorders>
      </w:tblPr>
      <w:tblGrid>
        <w:gridCol w:w="1900"/>
        <w:gridCol w:w="3800"/>
        <w:gridCol w:w="2100"/>
        <w:gridCol w:w="1560"/>
      </w:tblGrid>
      <w:tr>
        <w:trPr>
          <w:tblHeader w:val="true"/>
          <w:cantSplit w:val="true"/>
        </w:trPr>
        <w:tc>
          <w:tcPr>
            <w:tcW w:type="dxa" w:w="1900"/>
            <w:shd w:fill="EAF5EE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01B16"/>
                <w:sz w:val="18"/>
              </w:rPr>
              <w:t>Change</w:t>
            </w:r>
          </w:p>
        </w:tc>
        <w:tc>
          <w:tcPr>
            <w:tcW w:type="dxa" w:w="3800"/>
            <w:shd w:fill="EAF5EE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01B16"/>
                <w:sz w:val="18"/>
              </w:rPr>
              <w:t>Business value</w:t>
            </w:r>
          </w:p>
        </w:tc>
        <w:tc>
          <w:tcPr>
            <w:tcW w:type="dxa" w:w="2100"/>
            <w:shd w:fill="EAF5EE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01B16"/>
                <w:sz w:val="18"/>
              </w:rPr>
              <w:t>Validation</w:t>
            </w:r>
          </w:p>
        </w:tc>
        <w:tc>
          <w:tcPr>
            <w:tcW w:type="dxa" w:w="1560"/>
            <w:shd w:fill="EAF5EE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01B16"/>
                <w:sz w:val="18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Response security headers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Added HSTS, nosniff, clickjacking protection, referrer limits, permissions policy, and popup-safe opener isolation.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Vercel JSON parsed and automated header assertions pass.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Local - ready for preview</w:t>
            </w:r>
          </w:p>
        </w:tc>
      </w:tr>
      <w:tr>
        <w:trPr>
          <w:cantSplit w:val="true"/>
        </w:trPr>
        <w:tc>
          <w:tcPr>
            <w:tcW w:type="dxa" w:w="190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Security disclosure</w:t>
            </w:r>
          </w:p>
        </w:tc>
        <w:tc>
          <w:tcPr>
            <w:tcW w:type="dxa" w:w="380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Added /.well-known/security.txt plus /security.txt redirect.</w:t>
            </w:r>
          </w:p>
        </w:tc>
        <w:tc>
          <w:tcPr>
            <w:tcW w:type="dxa" w:w="210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Canonical, contact, policy, language, and expiry present.</w:t>
            </w:r>
          </w:p>
        </w:tc>
        <w:tc>
          <w:tcPr>
            <w:tcW w:type="dxa" w:w="156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Local - ready for preview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Customer-friendly 404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Added branded, responsive, keyboard-visible 404 page with home and shop recovery actions.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HTML metadata, alt text, local assets, and noindex validated.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Local - ready for preview</w:t>
            </w:r>
          </w:p>
        </w:tc>
      </w:tr>
      <w:tr>
        <w:trPr>
          <w:cantSplit w:val="true"/>
        </w:trPr>
        <w:tc>
          <w:tcPr>
            <w:tcW w:type="dxa" w:w="190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Automated site audit</w:t>
            </w:r>
          </w:p>
        </w:tc>
        <w:tc>
          <w:tcPr>
            <w:tcW w:type="dxa" w:w="380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Added npm tests for 85 HTML pages, 71 products, 80 sitemap URLs, local resources, JSON-LD, duplicate IDs, catalog images, security headers, and Cloud Function syntax.</w:t>
            </w:r>
          </w:p>
        </w:tc>
        <w:tc>
          <w:tcPr>
            <w:tcW w:type="dxa" w:w="210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npm test passes.</w:t>
            </w:r>
          </w:p>
        </w:tc>
        <w:tc>
          <w:tcPr>
            <w:tcW w:type="dxa" w:w="156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Implemented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2F4F7"/>
          <w:left w:val="single" w:sz="4" w:color="F2F4F7"/>
          <w:bottom w:val="single" w:sz="4" w:color="F2F4F7"/>
          <w:right w:val="single" w:sz="4" w:color="F2F4F7"/>
          <w:insideH w:val="single" w:sz="4" w:color="F2F4F7"/>
          <w:insideV w:val="single" w:sz="4" w:color="F2F4F7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5F5850"/>
                <w:sz w:val="20"/>
              </w:rPr>
              <w:t xml:space="preserve">DEPLOYMENT NOTE  </w:t>
            </w:r>
            <w:r>
              <w:rPr>
                <w:rFonts w:ascii="Calibri" w:hAnsi="Calibri"/>
                <w:color w:val="201B16"/>
                <w:sz w:val="20"/>
              </w:rPr>
              <w:t>These changes are implemented locally only. Deploy first to a preview environment, complete the checks in Section 5, then promote through the approved branch.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Ten major future implementation plans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D2C8"/>
          <w:left w:val="single" w:sz="6" w:color="D8D2C8"/>
          <w:bottom w:val="single" w:sz="6" w:color="D8D2C8"/>
          <w:right w:val="single" w:sz="6" w:color="D8D2C8"/>
          <w:insideH w:val="single" w:sz="6" w:color="D8D2C8"/>
          <w:insideV w:val="single" w:sz="6" w:color="D8D2C8"/>
        </w:tblBorders>
      </w:tblPr>
      <w:tblGrid>
        <w:gridCol w:w="480"/>
        <w:gridCol w:w="2480"/>
        <w:gridCol w:w="4480"/>
        <w:gridCol w:w="1920"/>
      </w:tblGrid>
      <w:tr>
        <w:trPr>
          <w:tblHeader w:val="true"/>
          <w:cantSplit w:val="true"/>
        </w:trPr>
        <w:tc>
          <w:tcPr>
            <w:tcW w:type="dxa" w:w="480"/>
            <w:shd w:fill="F7E9D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01B16"/>
                <w:sz w:val="18"/>
              </w:rPr>
              <w:t>#</w:t>
            </w:r>
          </w:p>
        </w:tc>
        <w:tc>
          <w:tcPr>
            <w:tcW w:type="dxa" w:w="2480"/>
            <w:shd w:fill="F7E9D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01B16"/>
                <w:sz w:val="18"/>
              </w:rPr>
              <w:t>Plan</w:t>
            </w:r>
          </w:p>
        </w:tc>
        <w:tc>
          <w:tcPr>
            <w:tcW w:type="dxa" w:w="4480"/>
            <w:shd w:fill="F7E9D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01B16"/>
                <w:sz w:val="18"/>
              </w:rPr>
              <w:t>Deliverable</w:t>
            </w:r>
          </w:p>
        </w:tc>
        <w:tc>
          <w:tcPr>
            <w:tcW w:type="dxa" w:w="1920"/>
            <w:shd w:fill="F7E9D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01B16"/>
                <w:sz w:val="18"/>
              </w:rPr>
              <w:t>Estimated effort</w:t>
            </w:r>
          </w:p>
        </w:tc>
      </w:tr>
      <w:tr>
        <w:trPr>
          <w:cantSplit w:val="true"/>
        </w:trPr>
        <w:tc>
          <w:tcPr>
            <w:tcW w:type="dxa" w:w="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1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P0 - Release and branch governance</w:t>
            </w:r>
          </w:p>
        </w:tc>
        <w:tc>
          <w:tcPr>
            <w:tcW w:type="dxa" w:w="4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Consolidate dev/developement into one protected integration branch; require pull requests, preview URLs, checks, changelog, tagged releases, and rollback instructions.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3-5 days</w:t>
            </w:r>
          </w:p>
        </w:tc>
      </w:tr>
      <w:tr>
        <w:trPr>
          <w:cantSplit w:val="true"/>
        </w:trPr>
        <w:tc>
          <w:tcPr>
            <w:tcW w:type="dxa" w:w="48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2</w:t>
            </w:r>
          </w:p>
        </w:tc>
        <w:tc>
          <w:tcPr>
            <w:tcW w:type="dxa" w:w="248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P0 - Security and abuse hardening</w:t>
            </w:r>
          </w:p>
        </w:tc>
        <w:tc>
          <w:tcPr>
            <w:tcW w:type="dxa" w:w="448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Enable Firebase App Check in stages; tighten public Firestore create schemas and rate limits; add secret rotation, dependency scanning, webhook replay protection, and security logging.</w:t>
            </w:r>
          </w:p>
        </w:tc>
        <w:tc>
          <w:tcPr>
            <w:tcW w:type="dxa" w:w="192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2-3 weeks</w:t>
            </w:r>
          </w:p>
        </w:tc>
      </w:tr>
      <w:tr>
        <w:trPr>
          <w:cantSplit w:val="true"/>
        </w:trPr>
        <w:tc>
          <w:tcPr>
            <w:tcW w:type="dxa" w:w="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3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P0 - Automated commerce testing</w:t>
            </w:r>
          </w:p>
        </w:tc>
        <w:tc>
          <w:tcPr>
            <w:tcW w:type="dxa" w:w="4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Add Firebase Emulator tests and browser tests for guest/account checkout, pickup/shipping, tax, promo codes, Stripe sandbox, refunds, emails, and webhook idempotency.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2-3 weeks</w:t>
            </w:r>
          </w:p>
        </w:tc>
      </w:tr>
      <w:tr>
        <w:trPr>
          <w:cantSplit w:val="true"/>
        </w:trPr>
        <w:tc>
          <w:tcPr>
            <w:tcW w:type="dxa" w:w="48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4</w:t>
            </w:r>
          </w:p>
        </w:tc>
        <w:tc>
          <w:tcPr>
            <w:tcW w:type="dxa" w:w="248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P1 - Performance and image delivery</w:t>
            </w:r>
          </w:p>
        </w:tc>
        <w:tc>
          <w:tcPr>
            <w:tcW w:type="dxa" w:w="448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Create responsive WebP/AVIF variants, enforce upload size limits, lazy-load below-fold media, preload only LCP assets, split large scripts, and set performance budgets.</w:t>
            </w:r>
          </w:p>
        </w:tc>
        <w:tc>
          <w:tcPr>
            <w:tcW w:type="dxa" w:w="192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2-3 weeks</w:t>
            </w:r>
          </w:p>
        </w:tc>
      </w:tr>
      <w:tr>
        <w:trPr>
          <w:cantSplit w:val="true"/>
        </w:trPr>
        <w:tc>
          <w:tcPr>
            <w:tcW w:type="dxa" w:w="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5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P1 - WCAG 2.2 AA accessibility</w:t>
            </w:r>
          </w:p>
        </w:tc>
        <w:tc>
          <w:tcPr>
            <w:tcW w:type="dxa" w:w="4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Add skip links and landmarks; audit keyboard order, dialogs, forms, errors, contrast, focus, motion, screen-reader names, and mobile zoom. Add automated a11y checks.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2 weeks</w:t>
            </w:r>
          </w:p>
        </w:tc>
      </w:tr>
      <w:tr>
        <w:trPr>
          <w:cantSplit w:val="true"/>
        </w:trPr>
        <w:tc>
          <w:tcPr>
            <w:tcW w:type="dxa" w:w="48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6</w:t>
            </w:r>
          </w:p>
        </w:tc>
        <w:tc>
          <w:tcPr>
            <w:tcW w:type="dxa" w:w="248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P1 - Checkout and account experience</w:t>
            </w:r>
          </w:p>
        </w:tc>
        <w:tc>
          <w:tcPr>
            <w:tcW w:type="dxa" w:w="448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Add saved addresses, clearer fulfillment eligibility, delivery estimates, resilient payment recovery, order-status timeline, invoice download, and accessible confirmation states.</w:t>
            </w:r>
          </w:p>
        </w:tc>
        <w:tc>
          <w:tcPr>
            <w:tcW w:type="dxa" w:w="192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3-4 weeks</w:t>
            </w:r>
          </w:p>
        </w:tc>
      </w:tr>
      <w:tr>
        <w:trPr>
          <w:cantSplit w:val="true"/>
        </w:trPr>
        <w:tc>
          <w:tcPr>
            <w:tcW w:type="dxa" w:w="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7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P1 - Inventory, batch, and fulfillment</w:t>
            </w:r>
          </w:p>
        </w:tc>
        <w:tc>
          <w:tcPr>
            <w:tcW w:type="dxa" w:w="4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Track stock by variant and batch, expiry/lot details, reservations, low-stock alerts, packing lists, shipping labels, tracking numbers, and pickup capacity.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4-6 weeks</w:t>
            </w:r>
          </w:p>
        </w:tc>
      </w:tr>
      <w:tr>
        <w:trPr>
          <w:cantSplit w:val="true"/>
        </w:trPr>
        <w:tc>
          <w:tcPr>
            <w:tcW w:type="dxa" w:w="48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8</w:t>
            </w:r>
          </w:p>
        </w:tc>
        <w:tc>
          <w:tcPr>
            <w:tcW w:type="dxa" w:w="248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P2 - SEO and local-commerce growth</w:t>
            </w:r>
          </w:p>
        </w:tc>
        <w:tc>
          <w:tcPr>
            <w:tcW w:type="dxa" w:w="448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Synchronize Product structured data and Merchant Center availability; add review aggregate markup when eligible, image sitemap, Richmond-area landing pages, and Search Console monitoring.</w:t>
            </w:r>
          </w:p>
        </w:tc>
        <w:tc>
          <w:tcPr>
            <w:tcW w:type="dxa" w:w="192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2-3 weeks</w:t>
            </w:r>
          </w:p>
        </w:tc>
      </w:tr>
      <w:tr>
        <w:trPr>
          <w:cantSplit w:val="true"/>
        </w:trPr>
        <w:tc>
          <w:tcPr>
            <w:tcW w:type="dxa" w:w="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9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P2 - Retention and referrals</w:t>
            </w:r>
          </w:p>
        </w:tc>
        <w:tc>
          <w:tcPr>
            <w:tcW w:type="dxa" w:w="4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Add consent-based lifecycle email, back-in-stock alerts, review follow-up, referral codes, loyalty rewards, reorder shortcuts, and campaign attribution with unsubscribe controls.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4-6 weeks</w:t>
            </w:r>
          </w:p>
        </w:tc>
      </w:tr>
      <w:tr>
        <w:trPr>
          <w:cantSplit w:val="true"/>
        </w:trPr>
        <w:tc>
          <w:tcPr>
            <w:tcW w:type="dxa" w:w="48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10</w:t>
            </w:r>
          </w:p>
        </w:tc>
        <w:tc>
          <w:tcPr>
            <w:tcW w:type="dxa" w:w="248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P2 - Observability and recovery</w:t>
            </w:r>
          </w:p>
        </w:tc>
        <w:tc>
          <w:tcPr>
            <w:tcW w:type="dxa" w:w="448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Define service-level indicators; centralize frontend/function errors, checkout alerts, webhook failures, analytics QA, backup exports, restore drills, and monthly cost/security review.</w:t>
            </w:r>
          </w:p>
        </w:tc>
        <w:tc>
          <w:tcPr>
            <w:tcW w:type="dxa" w:w="192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2-4 weeks</w:t>
            </w:r>
          </w:p>
        </w:tc>
      </w:tr>
    </w:tbl>
    <w:p>
      <w:pPr>
        <w:spacing w:before="0" w:after="60"/>
      </w:pPr>
    </w:p>
    <w:p>
      <w:pPr>
        <w:pStyle w:val="Heading1"/>
        <w:keepNext/>
      </w:pPr>
      <w:r>
        <w:t>4. Recommended delivery sequence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D2C8"/>
          <w:left w:val="single" w:sz="6" w:color="D8D2C8"/>
          <w:bottom w:val="single" w:sz="6" w:color="D8D2C8"/>
          <w:right w:val="single" w:sz="6" w:color="D8D2C8"/>
          <w:insideH w:val="single" w:sz="6" w:color="D8D2C8"/>
          <w:insideV w:val="single" w:sz="6" w:color="D8D2C8"/>
        </w:tblBorders>
      </w:tblPr>
      <w:tblGrid>
        <w:gridCol w:w="1400"/>
        <w:gridCol w:w="1500"/>
        <w:gridCol w:w="4360"/>
        <w:gridCol w:w="2100"/>
      </w:tblGrid>
      <w:tr>
        <w:trPr>
          <w:tblHeader w:val="true"/>
          <w:cantSplit w:val="true"/>
        </w:trPr>
        <w:tc>
          <w:tcPr>
            <w:tcW w:type="dxa" w:w="1400"/>
            <w:shd w:fill="F7E9D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01B16"/>
                <w:sz w:val="18"/>
              </w:rPr>
              <w:t>Window</w:t>
            </w:r>
          </w:p>
        </w:tc>
        <w:tc>
          <w:tcPr>
            <w:tcW w:type="dxa" w:w="1500"/>
            <w:shd w:fill="F7E9D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01B16"/>
                <w:sz w:val="18"/>
              </w:rPr>
              <w:t>Focus</w:t>
            </w:r>
          </w:p>
        </w:tc>
        <w:tc>
          <w:tcPr>
            <w:tcW w:type="dxa" w:w="4360"/>
            <w:shd w:fill="F7E9D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01B16"/>
                <w:sz w:val="18"/>
              </w:rPr>
              <w:t>Exit criteria</w:t>
            </w:r>
          </w:p>
        </w:tc>
        <w:tc>
          <w:tcPr>
            <w:tcW w:type="dxa" w:w="2100"/>
            <w:shd w:fill="F7E9D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01B16"/>
                <w:sz w:val="18"/>
              </w:rPr>
              <w:t>Primary outcome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8"/>
              </w:rPr>
              <w:t>Days 1-30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8"/>
              </w:rPr>
              <w:t>Plans 1-3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8"/>
              </w:rPr>
              <w:t>One branch, protected releases, App Check staging, rule hardening, and automated checkout/refund coverage.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8"/>
              </w:rPr>
              <w:t>Release safely</w:t>
            </w:r>
          </w:p>
        </w:tc>
      </w:tr>
      <w:tr>
        <w:trPr>
          <w:cantSplit w:val="true"/>
        </w:trPr>
        <w:tc>
          <w:tcPr>
            <w:tcW w:type="dxa" w:w="140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8"/>
              </w:rPr>
              <w:t>Days 31-60</w:t>
            </w:r>
          </w:p>
        </w:tc>
        <w:tc>
          <w:tcPr>
            <w:tcW w:type="dxa" w:w="150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8"/>
              </w:rPr>
              <w:t>Plans 4-6</w:t>
            </w:r>
          </w:p>
        </w:tc>
        <w:tc>
          <w:tcPr>
            <w:tcW w:type="dxa" w:w="436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8"/>
              </w:rPr>
              <w:t>Performance budget, responsive images, accessibility remediation, and checkout/account experience improvements.</w:t>
            </w:r>
          </w:p>
        </w:tc>
        <w:tc>
          <w:tcPr>
            <w:tcW w:type="dxa" w:w="210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8"/>
              </w:rPr>
              <w:t>Convert better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8"/>
              </w:rPr>
              <w:t>Days 61-120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8"/>
              </w:rPr>
              <w:t>Plans 7-8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8"/>
              </w:rPr>
              <w:t>Inventory/batch operations, fulfillment tooling, Merchant Center synchronization, and local SEO expansion.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8"/>
              </w:rPr>
              <w:t>Scale operations</w:t>
            </w:r>
          </w:p>
        </w:tc>
      </w:tr>
      <w:tr>
        <w:trPr>
          <w:cantSplit w:val="true"/>
        </w:trPr>
        <w:tc>
          <w:tcPr>
            <w:tcW w:type="dxa" w:w="140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8"/>
              </w:rPr>
              <w:t>Months 5-12</w:t>
            </w:r>
          </w:p>
        </w:tc>
        <w:tc>
          <w:tcPr>
            <w:tcW w:type="dxa" w:w="150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8"/>
              </w:rPr>
              <w:t>Plans 9-10</w:t>
            </w:r>
          </w:p>
        </w:tc>
        <w:tc>
          <w:tcPr>
            <w:tcW w:type="dxa" w:w="436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8"/>
              </w:rPr>
              <w:t>Retention programs, referrals, observability, recovery drills, cost controls, and continuous optimization.</w:t>
            </w:r>
          </w:p>
        </w:tc>
        <w:tc>
          <w:tcPr>
            <w:tcW w:type="dxa" w:w="210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8"/>
              </w:rPr>
              <w:t>Grow repeat sales</w:t>
            </w:r>
          </w:p>
        </w:tc>
      </w:tr>
    </w:tbl>
    <w:p>
      <w:pPr>
        <w:spacing w:before="0" w:after="60"/>
      </w:pPr>
    </w:p>
    <w:p>
      <w:pPr>
        <w:pStyle w:val="Heading1"/>
        <w:keepNext/>
      </w:pPr>
      <w:r>
        <w:t>5. Testing required after these changes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D2C8"/>
          <w:left w:val="single" w:sz="6" w:color="D8D2C8"/>
          <w:bottom w:val="single" w:sz="6" w:color="D8D2C8"/>
          <w:right w:val="single" w:sz="6" w:color="D8D2C8"/>
          <w:insideH w:val="single" w:sz="6" w:color="D8D2C8"/>
          <w:insideV w:val="single" w:sz="6" w:color="D8D2C8"/>
        </w:tblBorders>
      </w:tblPr>
      <w:tblGrid>
        <w:gridCol w:w="2050"/>
        <w:gridCol w:w="2980"/>
        <w:gridCol w:w="4330"/>
      </w:tblGrid>
      <w:tr>
        <w:trPr>
          <w:tblHeader w:val="true"/>
          <w:cantSplit w:val="true"/>
        </w:trPr>
        <w:tc>
          <w:tcPr>
            <w:tcW w:type="dxa" w:w="2050"/>
            <w:shd w:fill="F7E9D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01B16"/>
                <w:sz w:val="18"/>
              </w:rPr>
              <w:t>Test</w:t>
            </w:r>
          </w:p>
        </w:tc>
        <w:tc>
          <w:tcPr>
            <w:tcW w:type="dxa" w:w="2980"/>
            <w:shd w:fill="F7E9D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01B16"/>
                <w:sz w:val="18"/>
              </w:rPr>
              <w:t>Action</w:t>
            </w:r>
          </w:p>
        </w:tc>
        <w:tc>
          <w:tcPr>
            <w:tcW w:type="dxa" w:w="4330"/>
            <w:shd w:fill="F7E9D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01B16"/>
                <w:sz w:val="18"/>
              </w:rPr>
              <w:t>Pass condition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Automated repository test</w:t>
            </w:r>
          </w:p>
        </w:tc>
        <w:tc>
          <w:tcPr>
            <w:tcW w:type="dxa" w:w="2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Run npm test.</w:t>
            </w:r>
          </w:p>
        </w:tc>
        <w:tc>
          <w:tcPr>
            <w:tcW w:type="dxa" w:w="4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Must pass: HTML, catalog images, sitemap, JSON-LD, local links, security headers, and Function syntax.</w:t>
            </w:r>
          </w:p>
        </w:tc>
      </w:tr>
      <w:tr>
        <w:trPr>
          <w:cantSplit w:val="true"/>
        </w:trPr>
        <w:tc>
          <w:tcPr>
            <w:tcW w:type="dxa" w:w="205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Preview deployment</w:t>
            </w:r>
          </w:p>
        </w:tc>
        <w:tc>
          <w:tcPr>
            <w:tcW w:type="dxa" w:w="298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Deploy to the chosen integration branch.</w:t>
            </w:r>
          </w:p>
        </w:tc>
        <w:tc>
          <w:tcPr>
            <w:tcW w:type="dxa" w:w="433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404 page works; /.well-known/security.txt loads; no routing regression.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Header verification</w:t>
            </w:r>
          </w:p>
        </w:tc>
        <w:tc>
          <w:tcPr>
            <w:tcW w:type="dxa" w:w="2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Check homepage, shop, account, checkout, admin, assets, and product pages.</w:t>
            </w:r>
          </w:p>
        </w:tc>
        <w:tc>
          <w:tcPr>
            <w:tcW w:type="dxa" w:w="4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All six new response headers are present; authentication and Stripe redirects still work.</w:t>
            </w:r>
          </w:p>
        </w:tc>
      </w:tr>
      <w:tr>
        <w:trPr>
          <w:cantSplit w:val="true"/>
        </w:trPr>
        <w:tc>
          <w:tcPr>
            <w:tcW w:type="dxa" w:w="205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Commerce regression</w:t>
            </w:r>
          </w:p>
        </w:tc>
        <w:tc>
          <w:tcPr>
            <w:tcW w:type="dxa" w:w="298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Use Stripe sandbox and test pickup/shipping, promo, refund, and payment webhook paths.</w:t>
            </w:r>
          </w:p>
        </w:tc>
        <w:tc>
          <w:tcPr>
            <w:tcW w:type="dxa" w:w="433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Totals are server-derived; orders reach correct final states; retries do not duplicate work.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Accessibility</w:t>
            </w:r>
          </w:p>
        </w:tc>
        <w:tc>
          <w:tcPr>
            <w:tcW w:type="dxa" w:w="2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Keyboard-only pass plus Axe/Lighthouse and screen-reader spot checks.</w:t>
            </w:r>
          </w:p>
        </w:tc>
        <w:tc>
          <w:tcPr>
            <w:tcW w:type="dxa" w:w="4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No critical violations; visible focus; dialogs and errors announced; zoom works.</w:t>
            </w:r>
          </w:p>
        </w:tc>
      </w:tr>
      <w:tr>
        <w:trPr>
          <w:cantSplit w:val="true"/>
        </w:trPr>
        <w:tc>
          <w:tcPr>
            <w:tcW w:type="dxa" w:w="205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Performance</w:t>
            </w:r>
          </w:p>
        </w:tc>
        <w:tc>
          <w:tcPr>
            <w:tcW w:type="dxa" w:w="298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Run mobile Lighthouse on home, shop, product, and checkout.</w:t>
            </w:r>
          </w:p>
        </w:tc>
        <w:tc>
          <w:tcPr>
            <w:tcW w:type="dxa" w:w="4330"/>
            <w:shd w:fill="FBF7F0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Set baseline first; target LCP &lt;= 2.5 s, CLS &lt;= 0.1, INP &lt;= 200 ms at p75.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Owner acceptance</w:t>
            </w:r>
          </w:p>
        </w:tc>
        <w:tc>
          <w:tcPr>
            <w:tcW w:type="dxa" w:w="2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Verify product imagery, copy, pricing, fulfillment wording, and legal/tax settings.</w:t>
            </w:r>
          </w:p>
        </w:tc>
        <w:tc>
          <w:tcPr>
            <w:tcW w:type="dxa" w:w="4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201B16"/>
                <w:sz w:val="17"/>
              </w:rPr>
              <w:t>Owner signs off before production promotion.</w:t>
            </w:r>
          </w:p>
        </w:tc>
      </w:tr>
    </w:tbl>
    <w:p>
      <w:pPr>
        <w:spacing w:before="0" w:after="60"/>
      </w:pPr>
    </w:p>
    <w:p>
      <w:pPr>
        <w:pStyle w:val="Heading1"/>
        <w:keepNext/>
      </w:pPr>
      <w:r>
        <w:t>6. Immediate recommendations</w:t>
      </w:r>
    </w:p>
    <w:p>
      <w:pPr>
        <w:spacing w:before="0" w:after="100" w:line="264" w:lineRule="auto"/>
      </w:pPr>
      <w:r>
        <w:rPr>
          <w:rFonts w:ascii="Calibri" w:hAnsi="Calibri"/>
          <w:b/>
          <w:color w:val="201B16"/>
          <w:sz w:val="21"/>
        </w:rPr>
        <w:t xml:space="preserve">Next decision: </w:t>
      </w:r>
      <w:r>
        <w:rPr>
          <w:rFonts w:ascii="Calibri" w:hAnsi="Calibri"/>
          <w:color w:val="5F5850"/>
          <w:sz w:val="21"/>
        </w:rPr>
        <w:t>Choose dev or developement as the single integration branch; archive or lock the other.</w:t>
      </w:r>
    </w:p>
    <w:p>
      <w:pPr>
        <w:spacing w:before="0" w:after="100" w:line="264" w:lineRule="auto"/>
      </w:pPr>
      <w:r>
        <w:rPr>
          <w:rFonts w:ascii="Calibri" w:hAnsi="Calibri"/>
          <w:b/>
          <w:color w:val="201B16"/>
          <w:sz w:val="21"/>
        </w:rPr>
        <w:t xml:space="preserve">Next implementation sprint: </w:t>
      </w:r>
      <w:r>
        <w:rPr>
          <w:rFonts w:ascii="Calibri" w:hAnsi="Calibri"/>
          <w:color w:val="5F5850"/>
          <w:sz w:val="21"/>
        </w:rPr>
        <w:t>Complete Plans 1-3 before loyalty, PWA, or major redesign work.</w:t>
      </w:r>
    </w:p>
    <w:p>
      <w:pPr>
        <w:spacing w:before="0" w:after="100" w:line="264" w:lineRule="auto"/>
      </w:pPr>
      <w:r>
        <w:rPr>
          <w:rFonts w:ascii="Calibri" w:hAnsi="Calibri"/>
          <w:b/>
          <w:color w:val="201B16"/>
          <w:sz w:val="21"/>
        </w:rPr>
        <w:t xml:space="preserve">Do not enable yet: </w:t>
      </w:r>
      <w:r>
        <w:rPr>
          <w:rFonts w:ascii="Calibri" w:hAnsi="Calibri"/>
          <w:color w:val="5F5850"/>
          <w:sz w:val="21"/>
        </w:rPr>
        <w:t>Do not enforce App Check until preview checkout, account, admin, refund, and email paths pass.</w:t>
      </w:r>
    </w:p>
    <w:p>
      <w:pPr>
        <w:spacing w:before="0" w:after="100" w:line="264" w:lineRule="auto"/>
      </w:pPr>
      <w:r>
        <w:rPr>
          <w:rFonts w:ascii="Calibri" w:hAnsi="Calibri"/>
          <w:b/>
          <w:color w:val="201B16"/>
          <w:sz w:val="21"/>
        </w:rPr>
        <w:t xml:space="preserve">Performance quick target: </w:t>
      </w:r>
      <w:r>
        <w:rPr>
          <w:rFonts w:ascii="Calibri" w:hAnsi="Calibri"/>
          <w:color w:val="5F5850"/>
          <w:sz w:val="21"/>
        </w:rPr>
        <w:t>Reduce every product image below 500 KB and generate responsive formats before adding more homepage media.</w:t>
      </w:r>
    </w:p>
    <w:p>
      <w:pPr>
        <w:spacing w:before="0" w:after="100" w:line="264" w:lineRule="auto"/>
      </w:pPr>
      <w:r>
        <w:rPr>
          <w:rFonts w:ascii="Calibri" w:hAnsi="Calibri"/>
          <w:b/>
          <w:color w:val="201B16"/>
          <w:sz w:val="21"/>
        </w:rPr>
        <w:t xml:space="preserve">Release rule: </w:t>
      </w:r>
      <w:r>
        <w:rPr>
          <w:rFonts w:ascii="Calibri" w:hAnsi="Calibri"/>
          <w:color w:val="5F5850"/>
          <w:sz w:val="21"/>
        </w:rPr>
        <w:t>No production promotion without automated test pass, preview smoke test, owner approval, and rollback commit.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EAF5EE"/>
          <w:left w:val="single" w:sz="4" w:color="EAF5EE"/>
          <w:bottom w:val="single" w:sz="4" w:color="EAF5EE"/>
          <w:right w:val="single" w:sz="4" w:color="EAF5EE"/>
          <w:insideH w:val="single" w:sz="4" w:color="EAF5EE"/>
          <w:insideV w:val="single" w:sz="4" w:color="EAF5EE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shd w:fill="EAF5EE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06942"/>
                <w:sz w:val="20"/>
              </w:rPr>
              <w:t xml:space="preserve">SUCCESS MEASURE  </w:t>
            </w:r>
            <w:r>
              <w:rPr>
                <w:rFonts w:ascii="Calibri" w:hAnsi="Calibri"/>
                <w:color w:val="201B16"/>
                <w:sz w:val="20"/>
              </w:rPr>
              <w:t>Within 90 days: one release branch, repeatable checkout tests, App Check staged, zero critical accessibility defects, no product image above the agreed budget, and monitored payment/refund failures.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5850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F5850"/>
        <w:sz w:val="18"/>
      </w:rPr>
      <w:t>SHRISH  |  Website Strategy and Delivery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1B1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8C4A1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8C4A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8C4A1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SHRISH Website Implementation Roadmap 2026</dc:title>
  <dc:subject>Website audit, immediate improvements, future implementation plans, timelines, and testing</dc:subject>
  <dc:creator>Shrish LLC</dc:creator>
  <cp:keywords>website roadmap, ecommerce, security, accessibility, performance, QA</cp:keywords>
  <dc:description>Generated from the SHRISH repository audit completed July 27,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