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2.9. Thực hành với Setter Injection - Phần 2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Spring DI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Trong những bài học trước, bạn đã cấu hình dự án thông qua Setter Injection. Trong bài lab này bạn sẽ in thông tin ra ngoài màn hình.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config DI trong Spring Config: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đối tượng bean </w:t>
      </w:r>
      <w:r w:rsidDel="00000000" w:rsidR="00000000" w:rsidRPr="00000000">
        <w:rPr>
          <w:b w:val="1"/>
          <w:sz w:val="26"/>
          <w:szCs w:val="26"/>
          <w:rtl w:val="0"/>
        </w:rPr>
        <w:t xml:space="preserve">myCricketCoach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cấu hình thông qua Setter Injection.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(Lưu ý: tham số ref chính là tên bean tương ứng, hai tên này phải trùng khớp với nhau).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251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Tạo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SetterDemoApp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có phương thức main để thực hiện in thông tin ra màn hình console: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27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Gọi hai phương thức của đối tượng bean theCoach bao gồm getDailyWorkout() và getDailyFortune()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43525" cy="148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Kết quả màn hình console tương ứng sẽ được: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17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Hãy thực hiện chạy và kiểm tra thông tin ở màn hình console tương ứng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