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входного контроля автоматических выключателей серии АВ-12</w:t>
      </w:r>
    </w:p>
    <w:p>
      <w:r>
        <w:rPr>
          <w:b w:val="0"/>
        </w:rPr>
        <w:t xml:space="preserve">Настоящий регламент устанавливает порядок проведения входного контроля автоматических выключателей серии </w:t>
      </w:r>
      <w:r>
        <w:rPr>
          <w:b/>
        </w:rPr>
        <w:t>АВ-12</w:t>
      </w:r>
      <w:r>
        <w:rPr>
          <w:b w:val="0"/>
        </w:rPr>
        <w:t xml:space="preserve"> при поступлении партий на склад комплектующих изделий энергетического хозяйства предприятия. Регистрационный шифр регламента: </w:t>
      </w:r>
      <w:r>
        <w:rPr>
          <w:b/>
        </w:rPr>
        <w:t>РК-22.04-2024</w:t>
      </w:r>
      <w:r>
        <w:t>.</w:t>
      </w:r>
    </w:p>
    <w:p>
      <w:pPr>
        <w:pStyle w:val="Heading1"/>
      </w:pPr>
      <w:r>
        <w:t>1. Область применения</w:t>
      </w:r>
    </w:p>
    <w:p>
      <w:r>
        <w:t>Регламент распространяется на партии серии АВ-12 номиналом от 6 до 63 А, поступающие от поставщиков, прошедших процедуру квалификации в соответствии с действующим стандартом качества.</w:t>
      </w:r>
    </w:p>
    <w:p>
      <w:pPr>
        <w:pStyle w:val="Heading1"/>
      </w:pPr>
      <w:r>
        <w:t>2. Нормативные ссылки</w:t>
      </w:r>
    </w:p>
    <w:p>
      <w:pPr>
        <w:pStyle w:val="ListBullet"/>
      </w:pPr>
      <w:r>
        <w:t>ГОСТ 32395-2013. Выключатели автоматические.</w:t>
      </w:r>
    </w:p>
    <w:p>
      <w:pPr>
        <w:pStyle w:val="ListBullet"/>
      </w:pPr>
      <w:r>
        <w:t>ГОСТ Р 50345-2010. Аппаратура малогабаритная электрическая.</w:t>
      </w:r>
    </w:p>
    <w:p>
      <w:pPr>
        <w:pStyle w:val="ListBullet"/>
      </w:pPr>
      <w:r>
        <w:t>Инструкция по комплектации складских остатков, форма ИК-СО-22.04.</w:t>
      </w:r>
    </w:p>
    <w:p>
      <w:pPr>
        <w:pStyle w:val="Heading1"/>
      </w:pPr>
      <w:r>
        <w:t>3. Общие положения</w:t>
      </w:r>
    </w:p>
    <w:p>
      <w:r>
        <w:rPr>
          <w:b w:val="0"/>
        </w:rPr>
        <w:t xml:space="preserve">Контроль выполняется в нормальных климатических условиях по </w:t>
      </w:r>
      <w:r>
        <w:rPr>
          <w:i/>
        </w:rPr>
        <w:t>ГОСТ 15150</w:t>
      </w:r>
      <w:r>
        <w:rPr>
          <w:b w:val="0"/>
        </w:rPr>
        <w:t>: температура воздуха от +15 до +25 °C, относительная влажность не более 80 %, атмосферное давление в диапазоне 84-106 кПа.</w:t>
      </w:r>
    </w:p>
    <w:p>
      <w:pPr>
        <w:pStyle w:val="Heading1"/>
      </w:pPr>
      <w:r>
        <w:t>4. Перечень проверок</w:t>
      </w:r>
    </w:p>
    <w:p>
      <w:pPr>
        <w:pStyle w:val="Heading2"/>
      </w:pPr>
      <w:r>
        <w:t>4.1. Внешний осмотр</w:t>
      </w:r>
    </w:p>
    <w:p>
      <w:pPr>
        <w:pStyle w:val="ListNumber"/>
      </w:pPr>
      <w:r>
        <w:t>Проверить целостность корпуса и отсутствие механических повреждений.</w:t>
      </w:r>
    </w:p>
    <w:p>
      <w:pPr>
        <w:pStyle w:val="ListNumber"/>
      </w:pPr>
      <w:r>
        <w:t>Осмотреть клеммы и контактные соединения на предмет окисления.</w:t>
      </w:r>
    </w:p>
    <w:p>
      <w:pPr>
        <w:pStyle w:val="ListNumber"/>
      </w:pPr>
      <w:r>
        <w:t>Убедиться в чёткости и читаемости заводской маркировки.</w:t>
      </w:r>
    </w:p>
    <w:p>
      <w:pPr>
        <w:pStyle w:val="ListNumber"/>
      </w:pPr>
      <w:r>
        <w:t>Сверить комплектность партии с упаковочной ведомостью.</w:t>
      </w:r>
    </w:p>
    <w:p>
      <w:pPr>
        <w:pStyle w:val="Heading2"/>
      </w:pPr>
      <w:r>
        <w:t>4.2. Соответствие маркировки</w:t>
      </w:r>
    </w:p>
    <w:p>
      <w:r>
        <w:t>Таблица 1. Соответствие маркировки требованиям документации.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Допуск</w:t>
            </w:r>
          </w:p>
        </w:tc>
      </w:tr>
      <w:tr>
        <w:tc>
          <w:tcPr>
            <w:tcW w:type="dxa" w:w="2880"/>
          </w:tcPr>
          <w:p>
            <w:r>
              <w:t>Номинальный ток</w:t>
            </w:r>
          </w:p>
        </w:tc>
        <w:tc>
          <w:tcPr>
            <w:tcW w:type="dxa" w:w="2880"/>
          </w:tcPr>
          <w:p>
            <w:r>
              <w:t>16 А</w:t>
            </w:r>
          </w:p>
        </w:tc>
        <w:tc>
          <w:tcPr>
            <w:tcW w:type="dxa" w:w="2880"/>
          </w:tcPr>
          <w:p>
            <w:r>
              <w:t>± 0 %</w:t>
            </w:r>
          </w:p>
        </w:tc>
      </w:tr>
      <w:tr>
        <w:tc>
          <w:tcPr>
            <w:tcW w:type="dxa" w:w="2880"/>
          </w:tcPr>
          <w:p>
            <w:r>
              <w:t>Номинальное напряжение</w:t>
            </w:r>
          </w:p>
        </w:tc>
        <w:tc>
          <w:tcPr>
            <w:tcW w:type="dxa" w:w="2880"/>
          </w:tcPr>
          <w:p>
            <w:r>
              <w:t>230 В</w:t>
            </w:r>
          </w:p>
        </w:tc>
        <w:tc>
          <w:tcPr>
            <w:tcW w:type="dxa" w:w="2880"/>
          </w:tcPr>
          <w:p>
            <w:r>
              <w:t>± 5 %</w:t>
            </w:r>
          </w:p>
        </w:tc>
      </w:tr>
      <w:tr>
        <w:tc>
          <w:tcPr>
            <w:tcW w:type="dxa" w:w="2880"/>
          </w:tcPr>
          <w:p>
            <w:r>
              <w:t>Категория применения</w:t>
            </w:r>
          </w:p>
        </w:tc>
        <w:tc>
          <w:tcPr>
            <w:tcW w:type="dxa" w:w="2880"/>
          </w:tcPr>
          <w:p>
            <w:r>
              <w:t>АС-22А</w:t>
            </w:r>
          </w:p>
        </w:tc>
        <w:tc>
          <w:tcPr>
            <w:tcW w:type="dxa" w:w="2880"/>
          </w:tcPr>
          <w:p>
            <w:r>
              <w:t>строго</w:t>
            </w:r>
          </w:p>
        </w:tc>
      </w:tr>
    </w:tbl>
    <w:p>
      <w:pPr>
        <w:pStyle w:val="Heading2"/>
      </w:pPr>
      <w:r>
        <w:t>4.3. Измерение электрических параметров</w:t>
      </w:r>
    </w:p>
    <w:p>
      <w:r>
        <w:t>Измерения проводятся по схеме, приведённой на рисунке 1. Источник питания подключается к входным клеммам испытуемого выключателя; на выходных клеммах снимаются показания измерительного прибора.</w:t>
      </w:r>
    </w:p>
    <w:p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Оформление результатов</w:t>
      </w:r>
    </w:p>
    <w:p>
      <w:r>
        <w:rPr>
          <w:b w:val="0"/>
        </w:rPr>
        <w:t xml:space="preserve">По итогам входного контроля составляется акт по форме </w:t>
      </w:r>
      <w:r>
        <w:rPr>
          <w:b/>
        </w:rPr>
        <w:t>РК-22.04-2024</w:t>
      </w:r>
      <w:r>
        <w:rPr>
          <w:b w:val="0"/>
        </w:rPr>
        <w:t>. Акт регистрируется в журнале входного контроля и хранится не менее пяти лет с даты подписания.</w:t>
      </w:r>
    </w:p>
    <w:p>
      <w:pPr>
        <w:pStyle w:val="Heading1"/>
      </w:pPr>
      <w:r>
        <w:t>6. Ответственность</w:t>
      </w:r>
    </w:p>
    <w:p>
      <w:r>
        <w:t>Ответственным за проведение входного контроля назначается старший мастер участка комплектации, утверждаемый приказом по подразделению.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