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double" w:sz="12" w:space="4" w:color="000000"/>
        </w:pBdr>
      </w:pPr>
      <w:r>
        <w:rPr>
          <w:rFonts w:ascii="Arial" w:hAnsi="Arial"/>
          <w:b/>
          <w:sz w:val="22"/>
        </w:rPr>
        <w:t>KEMENTERIAN KEUANGAN REPUBLIK INDONESIA</w:t>
        <w:br/>
      </w:r>
      <w:r>
        <w:rPr>
          <w:rFonts w:ascii="Arial" w:hAnsi="Arial"/>
          <w:b/>
          <w:sz w:val="22"/>
        </w:rPr>
        <w:t>DIREKTORAT JENDERAL KEKAYAAN NEGARA</w:t>
        <w:br/>
      </w:r>
      <w:r>
        <w:rPr>
          <w:rFonts w:ascii="Arial" w:hAnsi="Arial"/>
          <w:b/>
          <w:sz w:val="22"/>
        </w:rPr>
        <w:t>KANTOR WILAYAH DJKN [NAMA KANWIL]</w:t>
        <w:br/>
      </w:r>
      <w:r>
        <w:rPr>
          <w:rFonts w:ascii="Arial" w:hAnsi="Arial"/>
          <w:b/>
          <w:sz w:val="24"/>
        </w:rPr>
        <w:t>KPKNL [NAMA KPKNL]</w:t>
        <w:br/>
      </w:r>
      <w:r>
        <w:rPr>
          <w:rFonts w:ascii="Arial" w:hAnsi="Arial"/>
          <w:i/>
          <w:sz w:val="18"/>
        </w:rPr>
        <w:t>[Alamat Kantor, Telepon, Email, dan Website KPKNL]</w:t>
      </w:r>
    </w:p>
    <w:p>
      <w:pPr>
        <w:spacing w:before="0" w:after="240" w:line="276" w:lineRule="auto"/>
      </w:pPr>
    </w:p>
    <w:p>
      <w:pPr>
        <w:spacing w:after="80"/>
        <w:jc w:val="center"/>
      </w:pPr>
      <w:r>
        <w:rPr>
          <w:rFonts w:ascii="Arial" w:hAnsi="Arial"/>
          <w:b/>
          <w:color w:val="1F4E79"/>
          <w:sz w:val="28"/>
        </w:rPr>
        <w:t>LAPORAN HASIL PENELITIAN</w:t>
        <w:br/>
        <w:t>BARANG MILIK NEGARA TERINDIKASI IDLE</w:t>
      </w:r>
    </w:p>
    <w:p>
      <w:pPr>
        <w:spacing w:after="360"/>
        <w:jc w:val="center"/>
      </w:pPr>
      <w:r>
        <w:rPr>
          <w:rFonts w:ascii="Arial" w:hAnsi="Arial"/>
          <w:b/>
          <w:color w:val="333333"/>
          <w:sz w:val="22"/>
        </w:rPr>
        <w:t>PADA [NAMA KEMENTERIAN/LEMBAGA / SATKER]</w:t>
        <w:br/>
        <w:t>NOMOR: LAP-[____]/KPKNL.[__]/2026</w:t>
      </w:r>
    </w:p>
    <w:p>
      <w:pPr>
        <w:pStyle w:val="Heading1"/>
        <w:keepNext/>
        <w:spacing w:before="360" w:after="160"/>
      </w:pPr>
      <w:r>
        <w:rPr>
          <w:rFonts w:ascii="Arial" w:hAnsi="Arial"/>
          <w:color w:val="1F4E79"/>
          <w:sz w:val="28"/>
        </w:rPr>
        <w:t>A. PENDAHULUAN</w:t>
      </w:r>
    </w:p>
    <w:p>
      <w:pPr>
        <w:spacing w:before="0" w:after="80" w:line="276" w:lineRule="auto"/>
      </w:pPr>
      <w:r>
        <w:rPr>
          <w:rFonts w:ascii="Arial" w:hAnsi="Arial"/>
          <w:b/>
        </w:rPr>
        <w:t>1. Dasar Penelitian</w:t>
      </w:r>
    </w:p>
    <w:p>
      <w:pPr>
        <w:pStyle w:val="ListBullet"/>
        <w:spacing w:after="60"/>
        <w:ind w:left="720"/>
      </w:pPr>
      <w:r>
        <w:rPr>
          <w:rFonts w:ascii="Arial" w:hAnsi="Arial"/>
          <w:sz w:val="21"/>
        </w:rPr>
        <w:t>Peraturan Pemerintah Nomor 27 Tahun 2014 tentang Pengelolaan Barang Milik Negara/Daerah sebagaimana telah diubah dengan Peraturan Pemerintah Nomor 28 Tahun 2020;</w:t>
      </w:r>
    </w:p>
    <w:p>
      <w:pPr>
        <w:pStyle w:val="ListBullet"/>
        <w:spacing w:after="60"/>
        <w:ind w:left="720"/>
      </w:pPr>
      <w:r>
        <w:rPr>
          <w:rFonts w:ascii="Arial" w:hAnsi="Arial"/>
          <w:sz w:val="21"/>
        </w:rPr>
        <w:t>Peraturan Menteri Keuangan Nomor 120 Tahun 2024 tentang Tata Cara Pengelolaan Barang Milik Negara Yang Tidak Digunakan Untuk Penyelenggaraan Tugas dan Fungsi Kementerian Negara/Lembaga;</w:t>
      </w:r>
    </w:p>
    <w:p>
      <w:pPr>
        <w:pStyle w:val="ListBullet"/>
        <w:spacing w:after="60"/>
        <w:ind w:left="720"/>
      </w:pPr>
      <w:r>
        <w:rPr>
          <w:rFonts w:ascii="Arial" w:hAnsi="Arial"/>
          <w:sz w:val="21"/>
        </w:rPr>
        <w:t>Surat permintaan klarifikasi tertulis Pengelola Barang Nomor: [Nomor Surat Klarifikasi] tanggal [Tanggal Surat Klarifikasi];</w:t>
      </w:r>
    </w:p>
    <w:p>
      <w:pPr>
        <w:pStyle w:val="ListBullet"/>
        <w:spacing w:after="60"/>
        <w:ind w:left="720"/>
      </w:pPr>
      <w:r>
        <w:rPr>
          <w:rFonts w:ascii="Arial" w:hAnsi="Arial"/>
          <w:sz w:val="21"/>
        </w:rPr>
        <w:t>Surat jawaban klarifikasi tertulis dari Pengguna Barang Nomor: [Nomor Surat Jawaban] tanggal [Tanggal Surat Jawaban]; [Jika ada]</w:t>
      </w:r>
    </w:p>
    <w:p>
      <w:pPr>
        <w:pStyle w:val="ListBullet"/>
        <w:spacing w:after="60"/>
        <w:ind w:left="720"/>
      </w:pPr>
      <w:r>
        <w:rPr>
          <w:rFonts w:ascii="Arial" w:hAnsi="Arial"/>
          <w:sz w:val="21"/>
        </w:rPr>
        <w:t>Laporan Hasil Pemantauan Peninjauan Lapangan Nomor: [Nomor Laporan Pemantauan] tanggal [Tanggal Laporan]; [Jika ada]</w:t>
      </w:r>
    </w:p>
    <w:p>
      <w:pPr>
        <w:pStyle w:val="ListBullet"/>
        <w:spacing w:after="60"/>
        <w:ind w:left="720"/>
      </w:pPr>
      <w:r>
        <w:rPr>
          <w:rFonts w:ascii="Arial" w:hAnsi="Arial"/>
          <w:sz w:val="21"/>
        </w:rPr>
        <w:t>Laporan Hasil Pelaksanaan Penelusuran Nomor: [Nomor LHP] tanggal [Tanggal LHP]; [Jika ada]</w:t>
      </w:r>
    </w:p>
    <w:p>
      <w:pPr>
        <w:pStyle w:val="ListBullet"/>
        <w:spacing w:after="120"/>
        <w:ind w:left="720"/>
      </w:pPr>
      <w:r>
        <w:rPr>
          <w:rFonts w:ascii="Arial" w:hAnsi="Arial"/>
          <w:sz w:val="21"/>
        </w:rPr>
        <w:t>Surat Tugas Kepala Kantor Pelayanan Kekayaan Negara dan Lelang [Nama KPKNL] Nomor: ST-[____]/KPKNL.[__]/2026 tanggal [Tanggal ST] untuk melakukan penelitian BMN terindikasi idle.</w:t>
      </w:r>
    </w:p>
    <w:p>
      <w:pPr>
        <w:spacing w:before="0" w:after="80" w:line="276" w:lineRule="auto"/>
      </w:pPr>
      <w:r>
        <w:rPr>
          <w:rFonts w:ascii="Arial" w:hAnsi="Arial"/>
          <w:b/>
        </w:rPr>
        <w:t>2. Latar Belakang</w:t>
      </w:r>
    </w:p>
    <w:p>
      <w:pPr>
        <w:spacing w:before="0" w:after="80" w:line="276" w:lineRule="auto"/>
      </w:pPr>
      <w:r>
        <w:rPr>
          <w:rFonts w:ascii="Arial" w:hAnsi="Arial"/>
          <w:color w:val="333333"/>
          <w:sz w:val="22"/>
        </w:rPr>
        <w:t>Dalam rangka mewujudkan akuntabilitas pengelolaan Barang Milik Negara (BMN) dengan tetap menjunjung tinggi tata kelola pemerintahan yang baik (good governance), diperlukan penggunaan BMN secara tepat, efektif, dan optimal guna mendukung pelaksanaan tugas dan fungsi Kementerian/Lembaga secara efisien. Namun demikian, dalam prakteknya masih sering dijumpai aset negara, khususnya tanah dan/atau bangunan, yang tidak digunakan secara maksimal atau bahkan idle.</w:t>
      </w:r>
    </w:p>
    <w:p>
      <w:pPr>
        <w:spacing w:before="0" w:after="160" w:line="276" w:lineRule="auto"/>
      </w:pPr>
      <w:r>
        <w:rPr>
          <w:rFonts w:ascii="Arial" w:hAnsi="Arial"/>
          <w:color w:val="333333"/>
          <w:sz w:val="22"/>
        </w:rPr>
        <w:t>Berdasarkan informasi yang diperoleh dari [sebutkan sumber data awal, misal: Laporan Wasdal Pengelola/Pengguna, Kertas Kerja Standar Kebutuhan 0%, audit APIP/BPK, atau laporan masyarakat], teridentifikasi adanya BMN berupa [tanah/bangunan] pada [Nama Kementerian/Lembaga c.q. Satker] yang terindikasi tidak lagi digunakan (terindikasi idle) yang beralamat di [Lokasi BMN]. Sebagai tindak lanjut, Pengelola Barang (KPKNL) melaksanakan penelitian komprehensif administratif dan fisik sebagai tahap akhir sebelum diambil keputusan penetapan status BMN Idle.</w:t>
      </w:r>
    </w:p>
    <w:p>
      <w:pPr>
        <w:spacing w:before="0" w:after="80" w:line="276" w:lineRule="auto"/>
      </w:pPr>
      <w:r>
        <w:rPr>
          <w:rFonts w:ascii="Arial" w:hAnsi="Arial"/>
          <w:b/>
        </w:rPr>
        <w:t>3. Maksud dan Tujuan</w:t>
      </w:r>
    </w:p>
    <w:p>
      <w:pPr>
        <w:pStyle w:val="ListBullet"/>
        <w:spacing w:after="60"/>
        <w:ind w:left="720"/>
      </w:pPr>
      <w:r>
        <w:rPr>
          <w:rFonts w:ascii="Arial" w:hAnsi="Arial"/>
        </w:rPr>
        <w:t>Memperoleh data dan informasi yang lengkap, akurat, jelas, detail, serta dapat dipertanggungjawabkan secara hukum mengenai keberadaan, kondisi fisik, status penggunaan, pemanfaatan, serta rencana tindak lanjut dari pengguna barang atas BMN terindikasi idle.</w:t>
      </w:r>
    </w:p>
    <w:p>
      <w:pPr>
        <w:pStyle w:val="ListBullet"/>
        <w:spacing w:after="160"/>
        <w:ind w:left="720"/>
      </w:pPr>
      <w:r>
        <w:rPr>
          <w:rFonts w:ascii="Arial" w:hAnsi="Arial"/>
        </w:rPr>
        <w:t>Memastikan kesesuaian dokumen kepemilikan dan data administratif yang tercatat pada Pengelola Barang dengan kondisi nyata di lapangan guna mendukung akurasi database aset negara.</w:t>
      </w:r>
    </w:p>
    <w:p>
      <w:pPr>
        <w:spacing w:before="0" w:after="80" w:line="276" w:lineRule="auto"/>
      </w:pPr>
      <w:r>
        <w:rPr>
          <w:rFonts w:ascii="Arial" w:hAnsi="Arial"/>
          <w:b/>
        </w:rPr>
        <w:t>4. Manfaat</w:t>
      </w:r>
    </w:p>
    <w:p>
      <w:pPr>
        <w:pStyle w:val="ListBullet"/>
        <w:spacing w:after="60"/>
        <w:ind w:left="720"/>
      </w:pPr>
      <w:r>
        <w:rPr>
          <w:rFonts w:ascii="Arial" w:hAnsi="Arial"/>
        </w:rPr>
        <w:t>Menyediakan bahan analisis kelayakan bagi Pengelola Barang untuk menetapkan status BMN terindikasi idle menjadi BMN Idle.</w:t>
      </w:r>
    </w:p>
    <w:p>
      <w:pPr>
        <w:pStyle w:val="ListBullet"/>
        <w:spacing w:after="60"/>
        <w:ind w:left="720"/>
      </w:pPr>
      <w:r>
        <w:rPr>
          <w:rFonts w:ascii="Arial" w:hAnsi="Arial"/>
        </w:rPr>
        <w:t>Menjadi rujukan perbaikan penatausahaan bagi Pengguna Barang demi tertib administrasi, fisik, dan hukum.</w:t>
      </w:r>
    </w:p>
    <w:p>
      <w:pPr>
        <w:pStyle w:val="ListBullet"/>
        <w:spacing w:after="160"/>
        <w:ind w:left="720"/>
      </w:pPr>
      <w:r>
        <w:rPr>
          <w:rFonts w:ascii="Arial" w:hAnsi="Arial"/>
        </w:rPr>
        <w:t>Mengoptimalkan ketergunaan aset melalui rencana realokasi penggunaan kepada K/L lain yang membutuhkan atau skema pemanfaatan lainnya guna mencegah kerugian keuangan negara akibat biaya pemeliharaan aset yang tidak produktif.</w:t>
      </w:r>
    </w:p>
    <w:p>
      <w:pPr>
        <w:spacing w:before="0" w:after="80" w:line="276" w:lineRule="auto"/>
      </w:pPr>
      <w:r>
        <w:rPr>
          <w:rFonts w:ascii="Arial" w:hAnsi="Arial"/>
          <w:b/>
        </w:rPr>
        <w:t>5. Ruang Lingkup</w:t>
      </w:r>
    </w:p>
    <w:p>
      <w:pPr>
        <w:pStyle w:val="ListBullet"/>
        <w:spacing w:after="60"/>
        <w:ind w:left="720"/>
      </w:pPr>
      <w:r>
        <w:rPr>
          <w:rFonts w:ascii="Arial" w:hAnsi="Arial"/>
        </w:rPr>
        <w:t>BMN terindikasi idle berupa [Sebutkan jenis barang, misal: Tanah Bangunan Kantor / Gedung Pertemuan] yang dicatat atas nama [Nama Satuan Kerja / K/L] yang berlokasi di [Alamat Lengkap].</w:t>
      </w:r>
    </w:p>
    <w:p>
      <w:pPr>
        <w:pStyle w:val="ListBullet"/>
        <w:spacing w:after="240"/>
        <w:ind w:left="720"/>
      </w:pPr>
      <w:r>
        <w:rPr>
          <w:rFonts w:ascii="Arial" w:hAnsi="Arial"/>
        </w:rPr>
        <w:t>Penelitian berkas perolehan, dokumen kepemilikan, data administratif SAKTI, pengawasan fisik lapangan, penelusuran sejarah perolehan, serta koordinasi wilayah.</w:t>
      </w:r>
    </w:p>
    <w:p>
      <w:pPr>
        <w:pStyle w:val="Heading1"/>
        <w:keepNext/>
        <w:spacing w:before="320" w:after="160"/>
      </w:pPr>
      <w:r>
        <w:rPr>
          <w:rFonts w:ascii="Arial" w:hAnsi="Arial"/>
          <w:color w:val="1F4E79"/>
          <w:sz w:val="28"/>
        </w:rPr>
        <w:t>B. OBJEK PENELITIAN</w:t>
      </w:r>
    </w:p>
    <w:p>
      <w:pPr>
        <w:spacing w:before="0" w:after="80" w:line="276" w:lineRule="auto"/>
      </w:pPr>
      <w:r>
        <w:rPr>
          <w:rFonts w:ascii="Arial" w:hAnsi="Arial"/>
          <w:b/>
        </w:rPr>
        <w:t>1. Identitas Satuan Kerja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600"/>
            <w:tcMar>
              <w:top w:w="100" w:type="dxa"/>
              <w:bottom w:w="100" w:type="dxa"/>
              <w:left w:w="120" w:type="dxa"/>
              <w:right w:w="120" w:type="dxa"/>
            </w:tcMar>
          </w:tcPr>
          <w:p>
            <w:pPr>
              <w:spacing w:before="60" w:after="60" w:line="276" w:lineRule="auto"/>
            </w:pPr>
            <w:r>
              <w:rPr>
                <w:rFonts w:ascii="Arial" w:hAnsi="Arial"/>
                <w:b/>
                <w:sz w:val="21"/>
              </w:rPr>
              <w:t>Kode Lokasi Satuan Kerja</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Kode Satker 20 Digit sesuai Aplikasi SAKTI]</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Nama Satuan Kerja / Instansi</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Nama Satuan Kerja / Kementerian Negara / Lembaga]</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Alamat Satker &amp; Kontak</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Alamat Lengkap Kantor Satker, Nomor Telepon, Email]</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Tugas dan Fungsi Satker</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[Uraikan singkat Tupoksi Satker berdasarkan struktur organisasi resmi]</w:t>
            </w:r>
          </w:p>
        </w:tc>
      </w:tr>
    </w:tbl>
    <w:p>
      <w:pPr>
        <w:spacing w:before="0" w:after="160" w:line="276" w:lineRule="auto"/>
      </w:pPr>
    </w:p>
    <w:p>
      <w:pPr>
        <w:spacing w:before="0" w:after="80" w:line="276" w:lineRule="auto"/>
      </w:pPr>
      <w:r>
        <w:rPr>
          <w:rFonts w:ascii="Arial" w:hAnsi="Arial"/>
          <w:b/>
        </w:rPr>
        <w:t>2. Identitas Barang Milik Negara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600"/>
            <w:tcMar>
              <w:top w:w="100" w:type="dxa"/>
              <w:bottom w:w="100" w:type="dxa"/>
              <w:left w:w="120" w:type="dxa"/>
              <w:right w:w="120" w:type="dxa"/>
            </w:tcMar>
          </w:tcPr>
          <w:p>
            <w:pPr>
              <w:spacing w:before="60" w:after="60" w:line="276" w:lineRule="auto"/>
            </w:pPr>
            <w:r>
              <w:rPr>
                <w:rFonts w:ascii="Arial" w:hAnsi="Arial"/>
                <w:b/>
                <w:sz w:val="21"/>
              </w:rPr>
              <w:t>Nama Barang</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Jenis BMN, misal: Tanah Bangunan Kantor / Gedung Permanen]</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Kode Barang &amp; NUP</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Kodefikasi 10 Digit BMN] / NUP [Isi Nomor Urut Pendaftaran]</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Lokasi / Alamat Fisik</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Alamat Detail Lokasi Aset (Desa, Kec, Kota, Prov)]</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Luas Total (Tanah/Dasar)</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Luas Tanah dalam m2] / [Isi Luas Bangunan jika berupa bangunan]</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Tahun &amp; Nilai Perolehan</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Tahun [Isi Tahun] / Nilai Buku: Rp [Isi Nilai Perolehan / Buku]</w:t>
            </w:r>
          </w:p>
        </w:tc>
      </w:tr>
      <w:tr>
        <w:tc>
          <w:tcPr>
            <w:tcW w:type="dxa" w:w="3600"/>
            <w:tcMar>
              <w:top w:w="100" w:type="dxa"/>
              <w:bottom w:w="100" w:type="dxa"/>
              <w:left w:w="120" w:type="dxa"/>
              <w:right w:w="120" w:type="dxa"/>
            </w:tcMar>
          </w:tcPr>
          <w:p>
            <w:pPr>
              <w:spacing w:before="60" w:after="60" w:line="276" w:lineRule="auto"/>
            </w:pPr>
            <w:r>
              <w:rPr>
                <w:rFonts w:ascii="Arial" w:hAnsi="Arial"/>
                <w:b/>
                <w:sz w:val="21"/>
              </w:rPr>
              <w:t>Bukti Kepemilikan (Legalitas)</w:t>
            </w:r>
          </w:p>
        </w:tc>
        <w:tc>
          <w:tcPr>
            <w:tcW w:type="dxa" w:w="288"/>
            <w:tcMar>
              <w:top w:w="100" w:type="dxa"/>
              <w:bottom w:w="100" w:type="dxa"/>
              <w:left w:w="120" w:type="dxa"/>
              <w:right w:w="120" w:type="dxa"/>
            </w:tcMar>
          </w:tcPr>
          <w:p>
            <w:pPr>
              <w:spacing w:before="60" w:after="60" w:line="276" w:lineRule="auto"/>
            </w:pPr>
            <w:r>
              <w:rPr>
                <w:rFonts w:ascii="Arial" w:hAnsi="Arial"/>
                <w:sz w:val="21"/>
              </w:rPr>
              <w:t>:</w:t>
            </w:r>
          </w:p>
        </w:tc>
        <w:tc>
          <w:tcPr>
            <w:tcW w:type="dxa" w:w="5472"/>
            <w:tcMar>
              <w:top w:w="100" w:type="dxa"/>
              <w:bottom w:w="100" w:type="dxa"/>
              <w:left w:w="120" w:type="dxa"/>
              <w:right w:w="120" w:type="dxa"/>
            </w:tcMar>
          </w:tcPr>
          <w:p>
            <w:pPr>
              <w:spacing w:before="60" w:after="60" w:line="276" w:lineRule="auto"/>
            </w:pPr>
            <w:r>
              <w:rPr>
                <w:rFonts w:ascii="Arial" w:hAnsi="Arial"/>
                <w:sz w:val="21"/>
              </w:rPr>
              <w:t>[Isi Dokumen, misal: Sertipikat HP No. XX/Desa, IMB/PBG No. XX, KIB]</w:t>
            </w:r>
          </w:p>
        </w:tc>
      </w:tr>
    </w:tbl>
    <w:p>
      <w:pPr>
        <w:pStyle w:val="Heading1"/>
        <w:keepNext/>
        <w:spacing w:before="320" w:after="160"/>
      </w:pPr>
      <w:r>
        <w:rPr>
          <w:rFonts w:ascii="Arial" w:hAnsi="Arial"/>
          <w:color w:val="1F4E79"/>
          <w:sz w:val="28"/>
        </w:rPr>
        <w:t>C. ANALISIS DATA DAN DOKUMEN</w:t>
      </w:r>
    </w:p>
    <w:p>
      <w:pPr>
        <w:spacing w:before="0" w:after="80" w:line="276" w:lineRule="auto"/>
      </w:pPr>
      <w:r>
        <w:rPr>
          <w:rFonts w:ascii="Arial" w:hAnsi="Arial"/>
          <w:b/>
        </w:rPr>
        <w:t>6. Sumber Data dan Dokumen</w:t>
      </w:r>
    </w:p>
    <w:p>
      <w:pPr>
        <w:spacing w:before="0" w:after="80" w:line="276" w:lineRule="auto"/>
      </w:pPr>
      <w:r>
        <w:rPr>
          <w:rFonts w:ascii="Arial" w:hAnsi="Arial"/>
          <w:color w:val="333333"/>
          <w:sz w:val="22"/>
        </w:rPr>
        <w:t>Penelitian ini dilakukan dengan meneliti dokumen fisik serta data administratif yang sah dari SAKTI. Dokumen-dokumen yang diperoleh dan diuji validitasnya meliputi:</w:t>
      </w:r>
    </w:p>
    <w:p>
      <w:pPr>
        <w:pStyle w:val="ListBullet"/>
        <w:spacing w:after="40"/>
        <w:ind w:left="720"/>
      </w:pPr>
      <w:r>
        <w:rPr>
          <w:rFonts w:ascii="Arial" w:hAnsi="Arial"/>
        </w:rPr>
        <w:t>Dokumen Perolehan BMN: RKBMN tahun [____], DIPA tahun [____], Rincian Anggaran dan Belanja (RAB), Kontrak pengadaan pihak ketiga, serta Berita Acara Serah Terima (BAST).</w:t>
      </w:r>
    </w:p>
    <w:p>
      <w:pPr>
        <w:pStyle w:val="ListBullet"/>
        <w:spacing w:after="40"/>
        <w:ind w:left="720"/>
      </w:pPr>
      <w:r>
        <w:rPr>
          <w:rFonts w:ascii="Arial" w:hAnsi="Arial"/>
        </w:rPr>
        <w:t>Dokumen Kepemilikan: Sertipikat Hak Pakai atas nama Pemerintah RI c.q. Kementerian [____], Surat Keterangan Pendaftaran Tanah (SKPT), Akta Pelepasan Hak, atau Akta Jual Beli (AJB).</w:t>
      </w:r>
    </w:p>
    <w:p>
      <w:pPr>
        <w:pStyle w:val="ListBullet"/>
        <w:spacing w:after="160"/>
        <w:ind w:left="720"/>
      </w:pPr>
      <w:r>
        <w:rPr>
          <w:rFonts w:ascii="Arial" w:hAnsi="Arial"/>
        </w:rPr>
        <w:t>Dokumen Pendukung Lain: Kartu Identitas Barang (KIB) cetakan SAKTI, Surat Keputusan Penetapan Status Penggunaan BMN (PSP), Surat Izin Pemanfaatan (bila ada), dan dokumen tata ruang wilayah (RUTR).</w:t>
      </w:r>
    </w:p>
    <w:p>
      <w:pPr>
        <w:spacing w:before="0" w:after="80" w:line="276" w:lineRule="auto"/>
      </w:pPr>
      <w:r>
        <w:rPr>
          <w:rFonts w:ascii="Arial" w:hAnsi="Arial"/>
          <w:b/>
        </w:rPr>
        <w:t>7. Sejarah Perolehan BMN</w:t>
      </w:r>
    </w:p>
    <w:p>
      <w:pPr>
        <w:spacing w:before="0" w:after="160" w:line="276" w:lineRule="auto"/>
      </w:pPr>
      <w:r>
        <w:rPr>
          <w:rFonts w:ascii="Arial" w:hAnsi="Arial"/>
          <w:color w:val="333333"/>
          <w:sz w:val="22"/>
        </w:rPr>
        <w:t>[Uraikan sejarah perolehan aset secara kronologis. Contoh: BMN ini diperoleh pada tahun 2012 melalui dana APBN yang bersumber dari DIPA Satker Kantor Wilayah XX untuk pembangunan gedung diklat. Proses konstruksi selesai pada Desember 2012 dan langsung dilakukan penyerahan melalui BAST Nomor XX dari kontraktor pelaksana kepada Kuasa Pengguna Barang].</w:t>
      </w:r>
    </w:p>
    <w:p>
      <w:pPr>
        <w:spacing w:before="0" w:after="80" w:line="276" w:lineRule="auto"/>
      </w:pPr>
      <w:r>
        <w:rPr>
          <w:rFonts w:ascii="Arial" w:hAnsi="Arial"/>
          <w:b/>
        </w:rPr>
        <w:t>8. Status Kepemilikan</w:t>
      </w:r>
    </w:p>
    <w:p>
      <w:pPr>
        <w:spacing w:before="0" w:after="160" w:line="276" w:lineRule="auto"/>
      </w:pPr>
      <w:r>
        <w:rPr>
          <w:rFonts w:ascii="Arial" w:hAnsi="Arial"/>
          <w:color w:val="333333"/>
          <w:sz w:val="22"/>
        </w:rPr>
        <w:t>[Uraikan status hukum kepemilikan aset. Contoh: Hak kepemilikan tanah saat ini didasarkan pada Sertipikat Hak Pakai No. 12/Desa Jaya, terbit tanggal 15 Mei 2013 yang diterbitkan oleh Kantor Pertanahan Kabupaten Jaya. Sertipikat tersebut terdaftar atas nama Pemerintah Republik Indonesia c.q. Kementerian XX. Dokumen sertipikat asli saat ini disimpan dengan aman di brankas dokumen KPKNL / Satker].</w:t>
      </w:r>
    </w:p>
    <w:p>
      <w:pPr>
        <w:spacing w:before="0" w:after="80" w:line="276" w:lineRule="auto"/>
      </w:pPr>
      <w:r>
        <w:rPr>
          <w:rFonts w:ascii="Arial" w:hAnsi="Arial"/>
          <w:b/>
        </w:rPr>
        <w:t>9. Penatausahaan BMN</w:t>
      </w:r>
    </w:p>
    <w:p>
      <w:pPr>
        <w:spacing w:before="0" w:after="160" w:line="276" w:lineRule="auto"/>
      </w:pPr>
      <w:r>
        <w:rPr>
          <w:rFonts w:ascii="Arial" w:hAnsi="Arial"/>
          <w:color w:val="333333"/>
          <w:sz w:val="22"/>
        </w:rPr>
        <w:t>[Uraikan aspek kepatuhan pembukuan. Contoh: Berdasarkan pengecekan pada Aplikasi SAKTI per tanggal 25 Agustus 2026, aset ini telah dicatat secara tertib di bawah Kode Barang 2.01.01.04.001 (Tanah Bangunan Kantor Pemerintah) dengan NUP 1. Tidak ditemukan adanya pencatatan ganda atau selisih kuantitas antara pencatatan administratif dengan pelaporan tahunan].</w:t>
      </w:r>
    </w:p>
    <w:p>
      <w:pPr>
        <w:spacing w:before="0" w:after="80" w:line="276" w:lineRule="auto"/>
      </w:pPr>
      <w:r>
        <w:rPr>
          <w:rFonts w:ascii="Arial" w:hAnsi="Arial"/>
          <w:b/>
        </w:rPr>
        <w:t>10. Analisa Penggunaan/Pemanfaatan dan Rencana Penggunaan/Pemanfaatan</w:t>
      </w:r>
    </w:p>
    <w:p>
      <w:pPr>
        <w:spacing w:before="0" w:after="240" w:line="276" w:lineRule="auto"/>
      </w:pPr>
      <w:r>
        <w:rPr>
          <w:rFonts w:ascii="Arial" w:hAnsi="Arial"/>
          <w:color w:val="333333"/>
          <w:sz w:val="22"/>
        </w:rPr>
        <w:t>[Uraikan penggunaan masa lalu, masa kini, serta rencana ke depan. Contoh: Aset ini digunakan secara aktif sebagai Gedung Diklat dari tahun 2013 hingga akhir tahun 2023. Sejak Januari 2024, operasional diklat dihentikan karena kebijakan pemusatan program diklat ke Jakarta. Jawaban tertulis pengguna barang dalam klarifikasi tertulis mengonfirmasi bahwa satker tidak memiliki rencana penggunaan kembali (Rencana Kerja / DIPA) dalam 1 (satu) tahun ke depan serta tidak mengajukan usul pemanfaatan dengan pihak ketiga dalam kurun waktu 6 (enam) bulan ke depan].</w:t>
      </w:r>
    </w:p>
    <w:p>
      <w:pPr>
        <w:pStyle w:val="Heading1"/>
        <w:keepNext/>
        <w:spacing w:before="320" w:after="160"/>
      </w:pPr>
      <w:r>
        <w:rPr>
          <w:rFonts w:ascii="Arial" w:hAnsi="Arial"/>
          <w:color w:val="1F4E79"/>
          <w:sz w:val="28"/>
        </w:rPr>
        <w:t>D. ANALISIS FISIK BARANG MILIK NEGARA (BMN)</w:t>
      </w:r>
    </w:p>
    <w:p>
      <w:pPr>
        <w:spacing w:before="0" w:after="80" w:line="276" w:lineRule="auto"/>
      </w:pPr>
      <w:r>
        <w:rPr>
          <w:rFonts w:ascii="Arial" w:hAnsi="Arial"/>
          <w:b/>
        </w:rPr>
        <w:t>11. Kondisi BMN</w:t>
      </w:r>
    </w:p>
    <w:p>
      <w:pPr>
        <w:spacing w:before="0" w:after="160" w:line="276" w:lineRule="auto"/>
      </w:pPr>
      <w:r>
        <w:rPr>
          <w:rFonts w:ascii="Arial" w:hAnsi="Arial"/>
          <w:color w:val="333333"/>
          <w:sz w:val="22"/>
        </w:rPr>
        <w:t>[Uraikan kondisi fisik terkini berdasarkan hasil peninjauan lapangan. Contoh: Kondisi fisik tanah merupakan area persil datar yang sebagian tertutup rumput liar. Bangunan gedung di atasnya dalam kondisi Baik secara struktural, namun terdapat kerusakan minor (Cat mengelupas, plafon bocor di sudut kiri) akibat tidak adanya operasional harian. Secara umum kondisi dinilai 'Rusak Ringan' dan masih sangat layak digunakan].</w:t>
      </w:r>
    </w:p>
    <w:p>
      <w:pPr>
        <w:spacing w:before="0" w:after="80" w:line="276" w:lineRule="auto"/>
      </w:pPr>
      <w:r>
        <w:rPr>
          <w:rFonts w:ascii="Arial" w:hAnsi="Arial"/>
          <w:b/>
        </w:rPr>
        <w:t>12. Pengamanan dan Pemeliharaan BMN</w:t>
      </w:r>
    </w:p>
    <w:p>
      <w:pPr>
        <w:spacing w:before="0" w:after="160" w:line="276" w:lineRule="auto"/>
      </w:pPr>
      <w:r>
        <w:rPr>
          <w:rFonts w:ascii="Arial" w:hAnsi="Arial"/>
          <w:color w:val="333333"/>
          <w:sz w:val="22"/>
        </w:rPr>
        <w:t>[Uraikan upaya pengamanan dari Satker. Contoh: Satker telah melakukan pengamanan fisik berupa pemagaran keliling dengan pagar kawat dan pemasangan papan nama bertuliskan 'Tanah Milik Negara di bawah Penguasaan Kementerian XX'. Namun, pengamanan dari segi penjagaan keamanan (satpam) tidak lagi disediakan secara khusus sejak awal tahun 2025 karena keterbatasan alokasi anggaran pemeliharaan satker].</w:t>
      </w:r>
    </w:p>
    <w:p>
      <w:pPr>
        <w:spacing w:before="0" w:after="80" w:line="276" w:lineRule="auto"/>
      </w:pPr>
      <w:r>
        <w:rPr>
          <w:rFonts w:ascii="Arial" w:hAnsi="Arial"/>
          <w:b/>
        </w:rPr>
        <w:t>13. Penggunaan / Pemanfaatan BMN secara Nyata</w:t>
      </w:r>
    </w:p>
    <w:p>
      <w:pPr>
        <w:spacing w:before="0" w:after="160" w:line="276" w:lineRule="auto"/>
      </w:pPr>
      <w:r>
        <w:rPr>
          <w:rFonts w:ascii="Arial" w:hAnsi="Arial"/>
          <w:color w:val="333333"/>
          <w:sz w:val="22"/>
        </w:rPr>
        <w:t>[Jelaskan kondisi riil di lokasi. Contoh: Pada saat dilakukan peninjauan fisik lapangan, aset dalam kondisi kosong dan terkunci rapat. Tidak ditemukan adanya pemanfaatan tanpa izin oleh warga sekitar maupun okupasi liar oleh pihak ketiga. Hal ini selaras dengan laporan hasil penelusuran yang menyatakan bahwa BMN ini tidak sedang digunakan sama sekali untuk mendukung tugas dan fungsi harian Satker].</w:t>
      </w:r>
    </w:p>
    <w:p>
      <w:pPr>
        <w:spacing w:before="0" w:after="80" w:line="276" w:lineRule="auto"/>
      </w:pPr>
      <w:r>
        <w:rPr>
          <w:rFonts w:ascii="Arial" w:hAnsi="Arial"/>
          <w:b/>
        </w:rPr>
        <w:t>14. Informasi Publik</w:t>
      </w:r>
    </w:p>
    <w:p>
      <w:pPr>
        <w:spacing w:before="0" w:after="160" w:line="276" w:lineRule="auto"/>
      </w:pPr>
      <w:r>
        <w:rPr>
          <w:rFonts w:ascii="Arial" w:hAnsi="Arial"/>
          <w:color w:val="333333"/>
          <w:sz w:val="22"/>
        </w:rPr>
        <w:t>[Uraikan informasi dari sekitar lingkungan aset atau koordinasi pemerintah daerah. Contoh: Koordinasi dengan Kepala Desa setempat mengonfirmasi bahwa batas-batas tanah di lapangan masih sesuai dengan sertipikat dan warga sekitar mengetahui aset tersebut adalah area steril milik negara. Pemerintah Daerah menyatakan kesiapan untuk menjaga ketertiban lingkungan sekitar lokasi aset].</w:t>
      </w:r>
    </w:p>
    <w:p>
      <w:pPr>
        <w:spacing w:before="0" w:after="80" w:line="276" w:lineRule="auto"/>
      </w:pPr>
      <w:r>
        <w:rPr>
          <w:rFonts w:ascii="Arial" w:hAnsi="Arial"/>
          <w:b/>
        </w:rPr>
        <w:t>15. Permasalahan-permasalahan BMN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fill="F2F2F2" w:val="clear"/>
            <w:tcMar>
              <w:top w:w="100" w:type="dxa"/>
              <w:bottom w:w="100" w:type="dxa"/>
              <w:left w:w="120" w:type="dxa"/>
              <w:right w:w="120" w:type="dxa"/>
            </w:tcMar>
          </w:tcPr>
          <w:p>
            <w:pPr>
              <w:spacing w:before="60" w:after="60"/>
            </w:pPr>
            <w:r>
              <w:rPr>
                <w:rFonts w:ascii="Arial" w:hAnsi="Arial"/>
                <w:b/>
                <w:sz w:val="20"/>
              </w:rPr>
              <w:t>Aspek Permasalahan</w:t>
            </w:r>
          </w:p>
        </w:tc>
        <w:tc>
          <w:tcPr>
            <w:tcW w:type="dxa" w:w="3600"/>
            <w:shd w:fill="F2F2F2" w:val="clear"/>
            <w:tcMar>
              <w:top w:w="100" w:type="dxa"/>
              <w:bottom w:w="100" w:type="dxa"/>
              <w:left w:w="120" w:type="dxa"/>
              <w:right w:w="120" w:type="dxa"/>
            </w:tcMar>
          </w:tcPr>
          <w:p>
            <w:pPr>
              <w:spacing w:before="60" w:after="60"/>
            </w:pPr>
            <w:r>
              <w:rPr>
                <w:rFonts w:ascii="Arial" w:hAnsi="Arial"/>
                <w:b/>
                <w:sz w:val="20"/>
              </w:rPr>
              <w:t>Status / Temuan di Lapangan</w:t>
            </w:r>
          </w:p>
        </w:tc>
        <w:tc>
          <w:tcPr>
            <w:tcW w:type="dxa" w:w="3168"/>
            <w:shd w:fill="F2F2F2" w:val="clear"/>
            <w:tcMar>
              <w:top w:w="100" w:type="dxa"/>
              <w:bottom w:w="100" w:type="dxa"/>
              <w:left w:w="120" w:type="dxa"/>
              <w:right w:w="120" w:type="dxa"/>
            </w:tcMar>
          </w:tcPr>
          <w:p>
            <w:pPr>
              <w:spacing w:before="60" w:after="60"/>
            </w:pPr>
            <w:r>
              <w:rPr>
                <w:rFonts w:ascii="Arial" w:hAnsi="Arial"/>
                <w:b/>
                <w:sz w:val="20"/>
              </w:rPr>
              <w:t>Analisis &amp; Rekomendasi Solusi</w:t>
            </w:r>
          </w:p>
        </w:tc>
      </w:tr>
      <w:tr>
        <w:tc>
          <w:tcPr>
            <w:tcW w:type="dxa" w:w="2592"/>
            <w:tcMar>
              <w:top w:w="100" w:type="dxa"/>
              <w:bottom w:w="100" w:type="dxa"/>
              <w:left w:w="120" w:type="dxa"/>
              <w:right w:w="120" w:type="dxa"/>
            </w:tcMar>
          </w:tcPr>
          <w:p>
            <w:pPr>
              <w:spacing w:before="60" w:after="60"/>
            </w:pPr>
            <w:r>
              <w:rPr>
                <w:rFonts w:ascii="Arial" w:hAnsi="Arial"/>
                <w:b/>
                <w:sz w:val="20"/>
              </w:rPr>
              <w:t>Aspek Administratif</w:t>
            </w:r>
          </w:p>
        </w:tc>
        <w:tc>
          <w:tcPr>
            <w:tcW w:type="dxa" w:w="3600"/>
            <w:tcMar>
              <w:top w:w="100" w:type="dxa"/>
              <w:bottom w:w="100" w:type="dxa"/>
              <w:left w:w="120" w:type="dxa"/>
              <w:right w:w="120" w:type="dxa"/>
            </w:tcMar>
          </w:tcPr>
          <w:p>
            <w:pPr>
              <w:spacing w:before="60" w:after="60"/>
            </w:pPr>
            <w:r>
              <w:rPr>
                <w:rFonts w:ascii="Arial" w:hAnsi="Arial"/>
                <w:sz w:val="20"/>
              </w:rPr>
              <w:t>Tidak ada sengketa pencatatan administratif. Data Aplikasi SAKTI sinkron.</w:t>
            </w:r>
          </w:p>
        </w:tc>
        <w:tc>
          <w:tcPr>
            <w:tcW w:type="dxa" w:w="3168"/>
            <w:tcMar>
              <w:top w:w="100" w:type="dxa"/>
              <w:bottom w:w="100" w:type="dxa"/>
              <w:left w:w="120" w:type="dxa"/>
              <w:right w:w="120" w:type="dxa"/>
            </w:tcMar>
          </w:tcPr>
          <w:p>
            <w:pPr>
              <w:spacing w:before="60" w:after="60"/>
            </w:pPr>
            <w:r>
              <w:rPr>
                <w:rFonts w:ascii="Arial" w:hAnsi="Arial"/>
                <w:sz w:val="20"/>
              </w:rPr>
              <w:t>Aman secara administratif. Tidak memerlukan koreksi data pembukuan.</w:t>
            </w:r>
          </w:p>
        </w:tc>
      </w:tr>
      <w:tr>
        <w:tc>
          <w:tcPr>
            <w:tcW w:type="dxa" w:w="2592"/>
            <w:tcMar>
              <w:top w:w="100" w:type="dxa"/>
              <w:bottom w:w="100" w:type="dxa"/>
              <w:left w:w="120" w:type="dxa"/>
              <w:right w:w="120" w:type="dxa"/>
            </w:tcMar>
          </w:tcPr>
          <w:p>
            <w:pPr>
              <w:spacing w:before="60" w:after="60"/>
            </w:pPr>
            <w:r>
              <w:rPr>
                <w:rFonts w:ascii="Arial" w:hAnsi="Arial"/>
                <w:b/>
                <w:sz w:val="20"/>
              </w:rPr>
              <w:t>Aspek Fisik</w:t>
            </w:r>
          </w:p>
        </w:tc>
        <w:tc>
          <w:tcPr>
            <w:tcW w:type="dxa" w:w="3600"/>
            <w:tcMar>
              <w:top w:w="100" w:type="dxa"/>
              <w:bottom w:w="100" w:type="dxa"/>
              <w:left w:w="120" w:type="dxa"/>
              <w:right w:w="120" w:type="dxa"/>
            </w:tcMar>
          </w:tcPr>
          <w:p>
            <w:pPr>
              <w:spacing w:before="60" w:after="60"/>
            </w:pPr>
            <w:r>
              <w:rPr>
                <w:rFonts w:ascii="Arial" w:hAnsi="Arial"/>
                <w:sz w:val="20"/>
              </w:rPr>
              <w:t>Tidak ada okupasi liar atau penyerobotan batas fisik. Pagar pembatas masih utuh.</w:t>
            </w:r>
          </w:p>
        </w:tc>
        <w:tc>
          <w:tcPr>
            <w:tcW w:type="dxa" w:w="3168"/>
            <w:tcMar>
              <w:top w:w="100" w:type="dxa"/>
              <w:bottom w:w="100" w:type="dxa"/>
              <w:left w:w="120" w:type="dxa"/>
              <w:right w:w="120" w:type="dxa"/>
            </w:tcMar>
          </w:tcPr>
          <w:p>
            <w:pPr>
              <w:spacing w:before="60" w:after="60"/>
            </w:pPr>
            <w:r>
              <w:rPr>
                <w:rFonts w:ascii="Arial" w:hAnsi="Arial"/>
                <w:sz w:val="20"/>
              </w:rPr>
              <w:t>Aman secara fisik. Perlu dipertahankan pengamanannya sebelum serah terima.</w:t>
            </w:r>
          </w:p>
        </w:tc>
      </w:tr>
      <w:tr>
        <w:tc>
          <w:tcPr>
            <w:tcW w:type="dxa" w:w="2592"/>
            <w:tcMar>
              <w:top w:w="100" w:type="dxa"/>
              <w:bottom w:w="100" w:type="dxa"/>
              <w:left w:w="120" w:type="dxa"/>
              <w:right w:w="120" w:type="dxa"/>
            </w:tcMar>
          </w:tcPr>
          <w:p>
            <w:pPr>
              <w:spacing w:before="60" w:after="60"/>
            </w:pPr>
            <w:r>
              <w:rPr>
                <w:rFonts w:ascii="Arial" w:hAnsi="Arial"/>
                <w:b/>
                <w:sz w:val="20"/>
              </w:rPr>
              <w:t>Aspek Hukum</w:t>
            </w:r>
          </w:p>
        </w:tc>
        <w:tc>
          <w:tcPr>
            <w:tcW w:type="dxa" w:w="3600"/>
            <w:tcMar>
              <w:top w:w="100" w:type="dxa"/>
              <w:bottom w:w="100" w:type="dxa"/>
              <w:left w:w="120" w:type="dxa"/>
              <w:right w:w="120" w:type="dxa"/>
            </w:tcMar>
          </w:tcPr>
          <w:p>
            <w:pPr>
              <w:spacing w:before="60" w:after="60"/>
            </w:pPr>
            <w:r>
              <w:rPr>
                <w:rFonts w:ascii="Arial" w:hAnsi="Arial"/>
                <w:sz w:val="20"/>
              </w:rPr>
              <w:t>Sertipikat asli tersimpan rapi, hak atas tanah ganda tidak terindikasi.</w:t>
            </w:r>
          </w:p>
        </w:tc>
        <w:tc>
          <w:tcPr>
            <w:tcW w:type="dxa" w:w="3168"/>
            <w:tcMar>
              <w:top w:w="100" w:type="dxa"/>
              <w:bottom w:w="100" w:type="dxa"/>
              <w:left w:w="120" w:type="dxa"/>
              <w:right w:w="120" w:type="dxa"/>
            </w:tcMar>
          </w:tcPr>
          <w:p>
            <w:pPr>
              <w:spacing w:before="60" w:after="60"/>
            </w:pPr>
            <w:r>
              <w:rPr>
                <w:rFonts w:ascii="Arial" w:hAnsi="Arial"/>
                <w:sz w:val="20"/>
              </w:rPr>
              <w:t>Aman secara hukum. Bersih dan bebas dari sengketa peradilan.</w:t>
            </w:r>
          </w:p>
        </w:tc>
      </w:tr>
    </w:tbl>
    <w:p>
      <w:pPr>
        <w:spacing w:before="0" w:after="160" w:line="276" w:lineRule="auto"/>
      </w:pPr>
    </w:p>
    <w:p>
      <w:pPr>
        <w:spacing w:before="0" w:after="80" w:line="276" w:lineRule="auto"/>
      </w:pPr>
      <w:r>
        <w:rPr>
          <w:rFonts w:ascii="Arial" w:hAnsi="Arial"/>
          <w:b/>
        </w:rPr>
        <w:t>16. Analisa Nilai Manfaat BMN</w:t>
      </w:r>
    </w:p>
    <w:p>
      <w:pPr>
        <w:spacing w:before="0" w:after="240" w:line="276" w:lineRule="auto"/>
      </w:pPr>
      <w:r>
        <w:rPr>
          <w:rFonts w:ascii="Arial" w:hAnsi="Arial"/>
          <w:color w:val="333333"/>
          <w:sz w:val="22"/>
        </w:rPr>
        <w:t>[Uraikan potensi kemanfaatan aset. Contoh: Mengingat kondisi fisik bangunan diklat yang masih sangat kokoh dan fungsional, terdapat potensi pemanfaatan yang tinggi. Sebagai contoh, Badan Pusat Statistik (BPS) Daerah saat ini sedang menyewa ruko swasta untuk operasional kantor. Aset ini sangat berpotensi dialihkan (optimalisasi penggunaan) kepada BPS Daerah guna menunjang tugas negara sekaligus menghemat anggaran belanja sewa kantor APBN sebesar Rp [____] per tahun].</w:t>
      </w:r>
    </w:p>
    <w:p>
      <w:pPr>
        <w:pStyle w:val="Heading1"/>
        <w:keepNext/>
        <w:spacing w:before="320" w:after="160"/>
      </w:pPr>
      <w:r>
        <w:rPr>
          <w:rFonts w:ascii="Arial" w:hAnsi="Arial"/>
          <w:color w:val="1F4E79"/>
          <w:sz w:val="28"/>
        </w:rPr>
        <w:t>E. PENUTUP</w:t>
      </w:r>
    </w:p>
    <w:p>
      <w:pPr>
        <w:spacing w:before="0" w:after="80" w:line="276" w:lineRule="auto"/>
      </w:pPr>
      <w:r>
        <w:rPr>
          <w:rFonts w:ascii="Arial" w:hAnsi="Arial"/>
          <w:b/>
        </w:rPr>
        <w:t>17. Kesimpulan</w:t>
      </w:r>
    </w:p>
    <w:p>
      <w:pPr>
        <w:spacing w:before="0" w:after="80" w:line="276" w:lineRule="auto"/>
      </w:pPr>
      <w:r>
        <w:rPr>
          <w:rFonts w:ascii="Arial" w:hAnsi="Arial"/>
          <w:color w:val="333333"/>
          <w:sz w:val="22"/>
        </w:rPr>
        <w:t>Berdasarkan hasil analisis data, penelitian dokumen, dan pemeriksaan fisik lapangan yang mendalam terhadap BMN berupa [Tanah dan Bangunan Kantor], ditarik beberapa kesimpulan sebagai berikut:</w:t>
      </w:r>
    </w:p>
    <w:p>
      <w:pPr>
        <w:pStyle w:val="ListBullet"/>
        <w:spacing w:after="40"/>
        <w:ind w:left="720"/>
      </w:pPr>
      <w:r>
        <w:rPr>
          <w:rFonts w:ascii="Arial" w:hAnsi="Arial"/>
        </w:rPr>
        <w:t>BMN dimaksud terbukti memenuhi kriteria BMN Idle sebagaimana diatur dalam Pasal 4 PMK Nomor 120 Tahun 2024, yakni tidak digunakan untuk kepentingan tugas dan fungsi Kementerian/Lembaga pengguna serta tidak sedang dimanfaatkan oleh pihak ketiga.</w:t>
      </w:r>
    </w:p>
    <w:p>
      <w:pPr>
        <w:pStyle w:val="ListBullet"/>
        <w:spacing w:after="40"/>
        <w:ind w:left="720"/>
      </w:pPr>
      <w:r>
        <w:rPr>
          <w:rFonts w:ascii="Arial" w:hAnsi="Arial"/>
        </w:rPr>
        <w:t>Dokumen administratif kepemilikan dan kepatuhan pencatatan pembukuan SAKTI dalam kondisi lengkap, jelas, serta bebas dari permasalahan hukum (clear and clean).</w:t>
      </w:r>
    </w:p>
    <w:p>
      <w:pPr>
        <w:pStyle w:val="ListBullet"/>
        <w:spacing w:after="160"/>
        <w:ind w:left="720"/>
      </w:pPr>
      <w:r>
        <w:rPr>
          <w:rFonts w:ascii="Arial" w:hAnsi="Arial"/>
        </w:rPr>
        <w:t>Aset ini memiliki nilai manfaat yang sangat tinggi apabila dialihkan status penggunaannya kepada Kementerian/Lembaga lain yang membutuhkan kantor di wilayah tersebut guna efisiensi anggaran belanja modal negara.</w:t>
      </w:r>
    </w:p>
    <w:p>
      <w:pPr>
        <w:spacing w:before="0" w:after="80" w:line="276" w:lineRule="auto"/>
      </w:pPr>
      <w:r>
        <w:rPr>
          <w:rFonts w:ascii="Arial" w:hAnsi="Arial"/>
          <w:b/>
        </w:rPr>
        <w:t>18. Tindak Lanjut</w:t>
      </w:r>
    </w:p>
    <w:p>
      <w:pPr>
        <w:spacing w:before="0" w:after="80" w:line="276" w:lineRule="auto"/>
      </w:pPr>
      <w:r>
        <w:rPr>
          <w:rFonts w:ascii="Arial" w:hAnsi="Arial"/>
          <w:color w:val="333333"/>
          <w:sz w:val="22"/>
        </w:rPr>
        <w:t>Sebagai rekomendasi tindak lanjut, disarankan agar Kepala Kantor Pelayanan Kekayaan Negara dan Lelang [Nama KPKNL]:</w:t>
      </w:r>
    </w:p>
    <w:p>
      <w:pPr>
        <w:pStyle w:val="ListBullet"/>
        <w:spacing w:after="40"/>
        <w:ind w:left="720"/>
      </w:pPr>
      <w:r>
        <w:rPr>
          <w:rFonts w:ascii="Arial" w:hAnsi="Arial"/>
        </w:rPr>
        <w:t>Menerbitkan draf Keputusan Penetapan BMN Idle terhadap aset tersebut (merujuk pada format resmi Lampiran J) dalam jangka waktu paling lambat 10 (sepuluh) hari kerja sejak laporan penelitian ini selesai disusun.</w:t>
      </w:r>
    </w:p>
    <w:p>
      <w:pPr>
        <w:pStyle w:val="ListBullet"/>
        <w:spacing w:after="40"/>
        <w:ind w:left="720"/>
      </w:pPr>
      <w:r>
        <w:rPr>
          <w:rFonts w:ascii="Arial" w:hAnsi="Arial"/>
        </w:rPr>
        <w:t>Menyampaikan Surat Keputusan dimaksud kepada Pengguna Barang guna segera ditindaklanjuti dengan serah terima aset dari Pengguna Barang kepada Pengelola Barang dalam batas waktu paling lambat 20 (dua puluh) hari kerja sejak penetapan keputusan.</w:t>
      </w:r>
    </w:p>
    <w:p>
      <w:pPr>
        <w:pStyle w:val="ListBullet"/>
        <w:spacing w:after="240"/>
        <w:ind w:left="720"/>
      </w:pPr>
      <w:r>
        <w:rPr>
          <w:rFonts w:ascii="Arial" w:hAnsi="Arial"/>
        </w:rPr>
        <w:t>Mengoordinasikan rencana pengalihan status penggunaan aset ini kepada instansi pemerintah daerah / K/L lain guna efisiensi belanja negara pasca penyerahan berita acara serah terima selesai ditandatangani.</w:t>
      </w:r>
    </w:p>
    <w:p>
      <w:pPr>
        <w:spacing w:before="0" w:after="360" w:line="276" w:lineRule="auto"/>
      </w:pPr>
      <w:r>
        <w:rPr>
          <w:rFonts w:ascii="Arial" w:hAnsi="Arial"/>
          <w:color w:val="333333"/>
          <w:sz w:val="22"/>
        </w:rPr>
        <w:t>Demikian Laporan Hasil Penelitian ini disusun dengan sebenar-benarnya berdasarkan ketentuan hukum yang berlaku untuk dipergunakan sebagai bahan pertimbangan dalam pengambilan keputusan.</w:t>
      </w:r>
    </w:p>
    <w:p>
      <w:pPr>
        <w:spacing w:after="240"/>
        <w:jc w:val="right"/>
      </w:pPr>
      <w:r>
        <w:rPr>
          <w:rFonts w:ascii="Arial" w:hAnsi="Arial"/>
          <w:sz w:val="21"/>
        </w:rPr>
        <w:t>Dibuat di: [Nama Kota KPKNL]</w:t>
        <w:br/>
        <w:t>Pada tanggal: 25 Agustus 2026</w:t>
        <w:br/>
        <w:br/>
      </w:r>
      <w:r>
        <w:rPr>
          <w:rFonts w:ascii="Arial" w:hAnsi="Arial"/>
          <w:sz w:val="21"/>
        </w:rPr>
        <w:t>Petugas Pelaksana Penelitian:</w:t>
        <w:br/>
        <w:br/>
        <w:br/>
        <w:br/>
        <w:br/>
      </w:r>
    </w:p>
    <w:tbl>
      <w:tblPr>
        <w:tblW w:type="auto" w:w="0"/>
        <w:jc w:val="center"/>
        <w:tblLayout w:type="fixed"/>
        <w:tblLook w:firstColumn="1" w:firstRow="1" w:lastColumn="0" w:lastRow="0" w:noHBand="0" w:noVBand="1" w:val="04A0"/>
      </w:tblPr>
      <w:tblGrid>
        <w:gridCol w:w="3120"/>
        <w:gridCol w:w="3120"/>
        <w:gridCol w:w="3120"/>
      </w:tblGrid>
      <w:tr>
        <w:tc>
          <w:tcPr>
            <w:tcW w:type="dxa" w:w="3024"/>
            <w:tcMar>
              <w:top w:w="80" w:type="dxa"/>
              <w:bottom w:w="80" w:type="dxa"/>
              <w:left w:w="100" w:type="dxa"/>
              <w:right w:w="100" w:type="dxa"/>
            </w:tcMar>
          </w:tcPr>
          <w:p>
            <w:pPr>
              <w:spacing w:after="80"/>
              <w:jc w:val="center"/>
            </w:pPr>
            <w:r>
              <w:rPr>
                <w:rFonts w:ascii="Arial" w:hAnsi="Arial"/>
                <w:sz w:val="19"/>
              </w:rPr>
              <w:t>1. [Nama Staf 1]</w:t>
              <w:br/>
              <w:t>NIP. [NIP Staf 1]</w:t>
              <w:br/>
              <w:t>Jabatan: Ketua / Anggota</w:t>
              <w:br/>
              <w:br/>
              <w:br/>
              <w:br/>
              <w:t>____________________</w:t>
              <w:br/>
              <w:t>Tanda Tangan</w:t>
            </w:r>
          </w:p>
        </w:tc>
        <w:tc>
          <w:tcPr>
            <w:tcW w:type="dxa" w:w="3024"/>
            <w:tcMar>
              <w:top w:w="80" w:type="dxa"/>
              <w:bottom w:w="80" w:type="dxa"/>
              <w:left w:w="100" w:type="dxa"/>
              <w:right w:w="100" w:type="dxa"/>
            </w:tcMar>
          </w:tcPr>
          <w:p>
            <w:pPr>
              <w:spacing w:after="80"/>
              <w:jc w:val="center"/>
            </w:pPr>
            <w:r>
              <w:rPr>
                <w:rFonts w:ascii="Arial" w:hAnsi="Arial"/>
                <w:sz w:val="19"/>
              </w:rPr>
              <w:t>2. [Nama Staf 2]</w:t>
              <w:br/>
              <w:t>NIP. [NIP Staf 2]</w:t>
              <w:br/>
              <w:t>Jabatan: Anggota</w:t>
              <w:br/>
              <w:br/>
              <w:br/>
              <w:br/>
              <w:t>____________________</w:t>
              <w:br/>
              <w:t>Tanda Tangan</w:t>
            </w:r>
          </w:p>
        </w:tc>
        <w:tc>
          <w:tcPr>
            <w:tcW w:type="dxa" w:w="3024"/>
            <w:tcMar>
              <w:top w:w="80" w:type="dxa"/>
              <w:bottom w:w="80" w:type="dxa"/>
              <w:left w:w="100" w:type="dxa"/>
              <w:right w:w="100" w:type="dxa"/>
            </w:tcMar>
          </w:tcPr>
          <w:p>
            <w:pPr>
              <w:spacing w:after="80"/>
              <w:jc w:val="center"/>
            </w:pPr>
            <w:r>
              <w:rPr>
                <w:rFonts w:ascii="Arial" w:hAnsi="Arial"/>
                <w:sz w:val="19"/>
              </w:rPr>
              <w:t>3. [Nama Staf 3]</w:t>
              <w:br/>
              <w:t>NIP. [NIP Staf 3]</w:t>
              <w:br/>
              <w:t>Jabatan: Anggota</w:t>
              <w:br/>
              <w:br/>
              <w:br/>
              <w:br/>
              <w:t>____________________</w:t>
              <w:br/>
              <w:t>Tanda Tangan</w:t>
            </w:r>
          </w:p>
        </w:tc>
      </w:tr>
    </w:tbl>
    <w:p>
      <w:r>
        <w:br w:type="page"/>
      </w:r>
    </w:p>
    <w:p>
      <w:pPr>
        <w:pStyle w:val="Heading1"/>
        <w:keepNext/>
        <w:spacing w:before="240" w:after="240"/>
      </w:pPr>
      <w:r>
        <w:rPr>
          <w:rFonts w:ascii="Arial" w:hAnsi="Arial"/>
          <w:color w:val="1F4E79"/>
          <w:sz w:val="28"/>
        </w:rPr>
        <w:t>LAMPIRAN I: FORMULIR ISIAN TANAH TERINDIKASI IDLE</w:t>
      </w:r>
    </w:p>
    <w:p>
      <w:pPr>
        <w:spacing w:before="0" w:after="160" w:line="276" w:lineRule="auto"/>
      </w:pPr>
      <w:r>
        <w:rPr>
          <w:rFonts w:ascii="Arial" w:hAnsi="Arial"/>
          <w:color w:val="333333"/>
          <w:sz w:val="22"/>
        </w:rPr>
        <w:t>Formulir ini digunakan khusus untuk objek BMN berupa tanah. Jika objek penelitian berupa bangunan saja, lembar lampiran ini dapat ditiadakan.</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shd w:fill="D9E1F2" w:val="clear"/>
            <w:tcMar>
              <w:top w:w="80" w:type="dxa"/>
              <w:bottom w:w="80" w:type="dxa"/>
              <w:left w:w="80" w:type="dxa"/>
              <w:right w:w="80" w:type="dxa"/>
            </w:tcMar>
          </w:tcPr>
          <w:p>
            <w:pPr>
              <w:spacing w:before="60" w:after="60"/>
              <w:jc w:val="center"/>
            </w:pPr>
            <w:r>
              <w:rPr>
                <w:rFonts w:ascii="Arial" w:hAnsi="Arial"/>
                <w:b/>
                <w:sz w:val="18"/>
              </w:rPr>
              <w:t>No.</w:t>
            </w:r>
          </w:p>
        </w:tc>
        <w:tc>
          <w:tcPr>
            <w:tcW w:type="dxa" w:w="1584"/>
            <w:shd w:fill="D9E1F2" w:val="clear"/>
            <w:tcMar>
              <w:top w:w="80" w:type="dxa"/>
              <w:bottom w:w="80" w:type="dxa"/>
              <w:left w:w="80" w:type="dxa"/>
              <w:right w:w="80" w:type="dxa"/>
            </w:tcMar>
          </w:tcPr>
          <w:p>
            <w:pPr>
              <w:spacing w:before="60" w:after="60"/>
              <w:jc w:val="left"/>
            </w:pPr>
            <w:r>
              <w:rPr>
                <w:rFonts w:ascii="Arial" w:hAnsi="Arial"/>
                <w:b/>
                <w:sz w:val="18"/>
              </w:rPr>
              <w:t>Kode Barang / NUP</w:t>
            </w:r>
          </w:p>
        </w:tc>
        <w:tc>
          <w:tcPr>
            <w:tcW w:type="dxa" w:w="2016"/>
            <w:shd w:fill="D9E1F2" w:val="clear"/>
            <w:tcMar>
              <w:top w:w="80" w:type="dxa"/>
              <w:bottom w:w="80" w:type="dxa"/>
              <w:left w:w="80" w:type="dxa"/>
              <w:right w:w="80" w:type="dxa"/>
            </w:tcMar>
          </w:tcPr>
          <w:p>
            <w:pPr>
              <w:spacing w:before="60" w:after="60"/>
              <w:jc w:val="left"/>
            </w:pPr>
            <w:r>
              <w:rPr>
                <w:rFonts w:ascii="Arial" w:hAnsi="Arial"/>
                <w:b/>
                <w:sz w:val="18"/>
              </w:rPr>
              <w:t>Uraian BMN &amp; Lokasi</w:t>
            </w:r>
          </w:p>
        </w:tc>
        <w:tc>
          <w:tcPr>
            <w:tcW w:type="dxa" w:w="1008"/>
            <w:shd w:fill="D9E1F2" w:val="clear"/>
            <w:tcMar>
              <w:top w:w="80" w:type="dxa"/>
              <w:bottom w:w="80" w:type="dxa"/>
              <w:left w:w="80" w:type="dxa"/>
              <w:right w:w="80" w:type="dxa"/>
            </w:tcMar>
          </w:tcPr>
          <w:p>
            <w:pPr>
              <w:spacing w:before="60" w:after="60"/>
              <w:jc w:val="center"/>
            </w:pPr>
            <w:r>
              <w:rPr>
                <w:rFonts w:ascii="Arial" w:hAnsi="Arial"/>
                <w:b/>
                <w:sz w:val="18"/>
              </w:rPr>
              <w:t>Luas (m2)</w:t>
            </w:r>
          </w:p>
        </w:tc>
        <w:tc>
          <w:tcPr>
            <w:tcW w:type="dxa" w:w="1872"/>
            <w:shd w:fill="D9E1F2" w:val="clear"/>
            <w:tcMar>
              <w:top w:w="80" w:type="dxa"/>
              <w:bottom w:w="80" w:type="dxa"/>
              <w:left w:w="80" w:type="dxa"/>
              <w:right w:w="80" w:type="dxa"/>
            </w:tcMar>
          </w:tcPr>
          <w:p>
            <w:pPr>
              <w:spacing w:before="60" w:after="60"/>
              <w:jc w:val="left"/>
            </w:pPr>
            <w:r>
              <w:rPr>
                <w:rFonts w:ascii="Arial" w:hAnsi="Arial"/>
                <w:b/>
                <w:sz w:val="18"/>
              </w:rPr>
              <w:t>Bukti Kepemilikan (No/Tgl)</w:t>
            </w:r>
          </w:p>
        </w:tc>
        <w:tc>
          <w:tcPr>
            <w:tcW w:type="dxa" w:w="864"/>
            <w:shd w:fill="D9E1F2" w:val="clear"/>
            <w:tcMar>
              <w:top w:w="80" w:type="dxa"/>
              <w:bottom w:w="80" w:type="dxa"/>
              <w:left w:w="80" w:type="dxa"/>
              <w:right w:w="80" w:type="dxa"/>
            </w:tcMar>
          </w:tcPr>
          <w:p>
            <w:pPr>
              <w:spacing w:before="60" w:after="60"/>
              <w:jc w:val="center"/>
            </w:pPr>
            <w:r>
              <w:rPr>
                <w:rFonts w:ascii="Arial" w:hAnsi="Arial"/>
                <w:b/>
                <w:sz w:val="18"/>
              </w:rPr>
              <w:t>Kondisi</w:t>
            </w:r>
          </w:p>
        </w:tc>
        <w:tc>
          <w:tcPr>
            <w:tcW w:type="dxa" w:w="1440"/>
            <w:shd w:fill="D9E1F2" w:val="clear"/>
            <w:tcMar>
              <w:top w:w="80" w:type="dxa"/>
              <w:bottom w:w="80" w:type="dxa"/>
              <w:left w:w="80" w:type="dxa"/>
              <w:right w:w="80" w:type="dxa"/>
            </w:tcMar>
          </w:tcPr>
          <w:p>
            <w:pPr>
              <w:spacing w:before="60" w:after="60"/>
              <w:jc w:val="center"/>
            </w:pPr>
            <w:r>
              <w:rPr>
                <w:rFonts w:ascii="Arial" w:hAnsi="Arial"/>
                <w:b/>
                <w:sz w:val="18"/>
              </w:rPr>
              <w:t>Nilai Perolehan (Rp)</w:t>
            </w:r>
          </w:p>
        </w:tc>
      </w:tr>
      <w:tr>
        <w:tc>
          <w:tcPr>
            <w:tcW w:type="dxa" w:w="576"/>
            <w:tcMar>
              <w:top w:w="80" w:type="dxa"/>
              <w:bottom w:w="80" w:type="dxa"/>
              <w:left w:w="80" w:type="dxa"/>
              <w:right w:w="80" w:type="dxa"/>
            </w:tcMar>
          </w:tcPr>
          <w:p>
            <w:pPr>
              <w:spacing w:before="60" w:after="60"/>
              <w:jc w:val="center"/>
            </w:pPr>
            <w:r>
              <w:rPr>
                <w:rFonts w:ascii="Arial" w:hAnsi="Arial"/>
                <w:sz w:val="18"/>
              </w:rPr>
              <w:t>1.</w:t>
            </w:r>
          </w:p>
        </w:tc>
        <w:tc>
          <w:tcPr>
            <w:tcW w:type="dxa" w:w="1584"/>
            <w:tcMar>
              <w:top w:w="80" w:type="dxa"/>
              <w:bottom w:w="80" w:type="dxa"/>
              <w:left w:w="80" w:type="dxa"/>
              <w:right w:w="80" w:type="dxa"/>
            </w:tcMar>
          </w:tcPr>
          <w:p>
            <w:pPr>
              <w:spacing w:before="60" w:after="60"/>
              <w:jc w:val="left"/>
            </w:pPr>
            <w:r>
              <w:rPr>
                <w:rFonts w:ascii="Arial" w:hAnsi="Arial"/>
                <w:sz w:val="18"/>
              </w:rPr>
              <w:t>2.01.01.04.001 / NUP 1</w:t>
            </w:r>
          </w:p>
        </w:tc>
        <w:tc>
          <w:tcPr>
            <w:tcW w:type="dxa" w:w="2016"/>
            <w:tcMar>
              <w:top w:w="80" w:type="dxa"/>
              <w:bottom w:w="80" w:type="dxa"/>
              <w:left w:w="80" w:type="dxa"/>
              <w:right w:w="80" w:type="dxa"/>
            </w:tcMar>
          </w:tcPr>
          <w:p>
            <w:pPr>
              <w:spacing w:before="60" w:after="60"/>
              <w:jc w:val="left"/>
            </w:pPr>
            <w:r>
              <w:rPr>
                <w:rFonts w:ascii="Arial" w:hAnsi="Arial"/>
                <w:sz w:val="18"/>
              </w:rPr>
              <w:t>Tanah Kosong</w:t>
              <w:br/>
              <w:t>Jl. Merdeka No. 10, Kota Raya</w:t>
            </w:r>
          </w:p>
        </w:tc>
        <w:tc>
          <w:tcPr>
            <w:tcW w:type="dxa" w:w="1008"/>
            <w:tcMar>
              <w:top w:w="80" w:type="dxa"/>
              <w:bottom w:w="80" w:type="dxa"/>
              <w:left w:w="80" w:type="dxa"/>
              <w:right w:w="80" w:type="dxa"/>
            </w:tcMar>
          </w:tcPr>
          <w:p>
            <w:pPr>
              <w:spacing w:before="60" w:after="60"/>
              <w:jc w:val="center"/>
            </w:pPr>
            <w:r>
              <w:rPr>
                <w:rFonts w:ascii="Arial" w:hAnsi="Arial"/>
                <w:sz w:val="18"/>
              </w:rPr>
              <w:t>5,000</w:t>
            </w:r>
          </w:p>
        </w:tc>
        <w:tc>
          <w:tcPr>
            <w:tcW w:type="dxa" w:w="1872"/>
            <w:tcMar>
              <w:top w:w="80" w:type="dxa"/>
              <w:bottom w:w="80" w:type="dxa"/>
              <w:left w:w="80" w:type="dxa"/>
              <w:right w:w="80" w:type="dxa"/>
            </w:tcMar>
          </w:tcPr>
          <w:p>
            <w:pPr>
              <w:spacing w:before="60" w:after="60"/>
              <w:jc w:val="left"/>
            </w:pPr>
            <w:r>
              <w:rPr>
                <w:rFonts w:ascii="Arial" w:hAnsi="Arial"/>
                <w:sz w:val="18"/>
              </w:rPr>
              <w:t>Sertipikat Hak Pakai No. 12</w:t>
              <w:br/>
              <w:t>Tanggal 15 Mei 2013</w:t>
            </w:r>
          </w:p>
        </w:tc>
        <w:tc>
          <w:tcPr>
            <w:tcW w:type="dxa" w:w="864"/>
            <w:tcMar>
              <w:top w:w="80" w:type="dxa"/>
              <w:bottom w:w="80" w:type="dxa"/>
              <w:left w:w="80" w:type="dxa"/>
              <w:right w:w="80" w:type="dxa"/>
            </w:tcMar>
          </w:tcPr>
          <w:p>
            <w:pPr>
              <w:spacing w:before="60" w:after="60"/>
              <w:jc w:val="center"/>
            </w:pPr>
            <w:r>
              <w:rPr>
                <w:rFonts w:ascii="Arial" w:hAnsi="Arial"/>
                <w:sz w:val="18"/>
              </w:rPr>
              <w:t>Baik</w:t>
            </w:r>
          </w:p>
        </w:tc>
        <w:tc>
          <w:tcPr>
            <w:tcW w:type="dxa" w:w="1440"/>
            <w:tcMar>
              <w:top w:w="80" w:type="dxa"/>
              <w:bottom w:w="80" w:type="dxa"/>
              <w:left w:w="80" w:type="dxa"/>
              <w:right w:w="80" w:type="dxa"/>
            </w:tcMar>
          </w:tcPr>
          <w:p>
            <w:pPr>
              <w:spacing w:before="60" w:after="60"/>
              <w:jc w:val="center"/>
            </w:pPr>
            <w:r>
              <w:rPr>
                <w:rFonts w:ascii="Arial" w:hAnsi="Arial"/>
                <w:sz w:val="18"/>
              </w:rPr>
              <w:t>2,500,000,000</w:t>
            </w:r>
          </w:p>
        </w:tc>
      </w:tr>
      <w:tr>
        <w:tc>
          <w:tcPr>
            <w:tcW w:type="dxa" w:w="576"/>
            <w:tcMar>
              <w:top w:w="80" w:type="dxa"/>
              <w:bottom w:w="80" w:type="dxa"/>
              <w:left w:w="80" w:type="dxa"/>
              <w:right w:w="80" w:type="dxa"/>
            </w:tcMar>
          </w:tcPr>
          <w:p>
            <w:pPr>
              <w:spacing w:before="60" w:after="60"/>
              <w:jc w:val="center"/>
            </w:pPr>
            <w:r>
              <w:rPr>
                <w:rFonts w:ascii="Arial" w:hAnsi="Arial"/>
                <w:sz w:val="18"/>
              </w:rPr>
              <w:t>2.</w:t>
            </w:r>
          </w:p>
        </w:tc>
        <w:tc>
          <w:tcPr>
            <w:tcW w:type="dxa" w:w="1584"/>
            <w:tcMar>
              <w:top w:w="80" w:type="dxa"/>
              <w:bottom w:w="80" w:type="dxa"/>
              <w:left w:w="80" w:type="dxa"/>
              <w:right w:w="80" w:type="dxa"/>
            </w:tcMar>
          </w:tcPr>
          <w:p>
            <w:pPr>
              <w:spacing w:before="60" w:after="60"/>
              <w:jc w:val="left"/>
            </w:pPr>
            <w:r>
              <w:rPr>
                <w:rFonts w:ascii="Arial" w:hAnsi="Arial"/>
                <w:sz w:val="18"/>
              </w:rPr>
              <w:t>[____]</w:t>
            </w:r>
          </w:p>
        </w:tc>
        <w:tc>
          <w:tcPr>
            <w:tcW w:type="dxa" w:w="2016"/>
            <w:tcMar>
              <w:top w:w="80" w:type="dxa"/>
              <w:bottom w:w="80" w:type="dxa"/>
              <w:left w:w="80" w:type="dxa"/>
              <w:right w:w="80" w:type="dxa"/>
            </w:tcMar>
          </w:tcPr>
          <w:p>
            <w:pPr>
              <w:spacing w:before="60" w:after="60"/>
              <w:jc w:val="left"/>
            </w:pPr>
            <w:r>
              <w:rPr>
                <w:rFonts w:ascii="Arial" w:hAnsi="Arial"/>
                <w:sz w:val="18"/>
              </w:rPr>
              <w:t>[____]</w:t>
            </w:r>
          </w:p>
        </w:tc>
        <w:tc>
          <w:tcPr>
            <w:tcW w:type="dxa" w:w="1008"/>
            <w:tcMar>
              <w:top w:w="80" w:type="dxa"/>
              <w:bottom w:w="80" w:type="dxa"/>
              <w:left w:w="80" w:type="dxa"/>
              <w:right w:w="80" w:type="dxa"/>
            </w:tcMar>
          </w:tcPr>
          <w:p>
            <w:pPr>
              <w:spacing w:before="60" w:after="60"/>
              <w:jc w:val="center"/>
            </w:pPr>
            <w:r>
              <w:rPr>
                <w:rFonts w:ascii="Arial" w:hAnsi="Arial"/>
                <w:sz w:val="18"/>
              </w:rPr>
              <w:t>[____]</w:t>
            </w:r>
          </w:p>
        </w:tc>
        <w:tc>
          <w:tcPr>
            <w:tcW w:type="dxa" w:w="1872"/>
            <w:tcMar>
              <w:top w:w="80" w:type="dxa"/>
              <w:bottom w:w="80" w:type="dxa"/>
              <w:left w:w="80" w:type="dxa"/>
              <w:right w:w="80" w:type="dxa"/>
            </w:tcMar>
          </w:tcPr>
          <w:p>
            <w:pPr>
              <w:spacing w:before="60" w:after="60"/>
              <w:jc w:val="left"/>
            </w:pPr>
            <w:r>
              <w:rPr>
                <w:rFonts w:ascii="Arial" w:hAnsi="Arial"/>
                <w:sz w:val="18"/>
              </w:rPr>
              <w:t>[____]</w:t>
            </w:r>
          </w:p>
        </w:tc>
        <w:tc>
          <w:tcPr>
            <w:tcW w:type="dxa" w:w="864"/>
            <w:tcMar>
              <w:top w:w="80" w:type="dxa"/>
              <w:bottom w:w="80" w:type="dxa"/>
              <w:left w:w="80" w:type="dxa"/>
              <w:right w:w="80" w:type="dxa"/>
            </w:tcMar>
          </w:tcPr>
          <w:p>
            <w:pPr>
              <w:spacing w:before="60" w:after="60"/>
              <w:jc w:val="center"/>
            </w:pPr>
            <w:r>
              <w:rPr>
                <w:rFonts w:ascii="Arial" w:hAnsi="Arial"/>
                <w:sz w:val="18"/>
              </w:rPr>
              <w:t>[____]</w:t>
            </w:r>
          </w:p>
        </w:tc>
        <w:tc>
          <w:tcPr>
            <w:tcW w:type="dxa" w:w="1440"/>
            <w:tcMar>
              <w:top w:w="80" w:type="dxa"/>
              <w:bottom w:w="80" w:type="dxa"/>
              <w:left w:w="80" w:type="dxa"/>
              <w:right w:w="80" w:type="dxa"/>
            </w:tcMar>
          </w:tcPr>
          <w:p>
            <w:pPr>
              <w:spacing w:before="60" w:after="60"/>
              <w:jc w:val="center"/>
            </w:pPr>
            <w:r>
              <w:rPr>
                <w:rFonts w:ascii="Arial" w:hAnsi="Arial"/>
                <w:sz w:val="18"/>
              </w:rPr>
              <w:t>[____]</w:t>
            </w:r>
          </w:p>
        </w:tc>
      </w:tr>
      <w:tr>
        <w:tc>
          <w:tcPr>
            <w:tcW w:type="dxa" w:w="576"/>
            <w:tcMar>
              <w:top w:w="80" w:type="dxa"/>
              <w:bottom w:w="80" w:type="dxa"/>
              <w:left w:w="80" w:type="dxa"/>
              <w:right w:w="80" w:type="dxa"/>
            </w:tcMar>
          </w:tcPr>
          <w:p>
            <w:pPr>
              <w:spacing w:before="60" w:after="60"/>
              <w:jc w:val="center"/>
            </w:pPr>
          </w:p>
        </w:tc>
        <w:tc>
          <w:tcPr>
            <w:tcW w:type="dxa" w:w="1584"/>
            <w:tcMar>
              <w:top w:w="80" w:type="dxa"/>
              <w:bottom w:w="80" w:type="dxa"/>
              <w:left w:w="80" w:type="dxa"/>
              <w:right w:w="80" w:type="dxa"/>
            </w:tcMar>
          </w:tcPr>
          <w:p>
            <w:pPr>
              <w:spacing w:before="60" w:after="60"/>
              <w:jc w:val="left"/>
            </w:pPr>
          </w:p>
        </w:tc>
        <w:tc>
          <w:tcPr>
            <w:tcW w:type="dxa" w:w="2016"/>
            <w:tcMar>
              <w:top w:w="80" w:type="dxa"/>
              <w:bottom w:w="80" w:type="dxa"/>
              <w:left w:w="80" w:type="dxa"/>
              <w:right w:w="80" w:type="dxa"/>
            </w:tcMar>
          </w:tcPr>
          <w:p>
            <w:pPr>
              <w:spacing w:before="60" w:after="60"/>
              <w:jc w:val="left"/>
            </w:pPr>
          </w:p>
        </w:tc>
        <w:tc>
          <w:tcPr>
            <w:tcW w:type="dxa" w:w="1008"/>
            <w:tcMar>
              <w:top w:w="80" w:type="dxa"/>
              <w:bottom w:w="80" w:type="dxa"/>
              <w:left w:w="80" w:type="dxa"/>
              <w:right w:w="80" w:type="dxa"/>
            </w:tcMar>
          </w:tcPr>
          <w:p>
            <w:pPr>
              <w:spacing w:before="60" w:after="60"/>
              <w:jc w:val="center"/>
            </w:pPr>
          </w:p>
        </w:tc>
        <w:tc>
          <w:tcPr>
            <w:tcW w:type="dxa" w:w="1872"/>
            <w:tcMar>
              <w:top w:w="80" w:type="dxa"/>
              <w:bottom w:w="80" w:type="dxa"/>
              <w:left w:w="80" w:type="dxa"/>
              <w:right w:w="80" w:type="dxa"/>
            </w:tcMar>
          </w:tcPr>
          <w:p>
            <w:pPr>
              <w:spacing w:before="60" w:after="60"/>
              <w:jc w:val="left"/>
            </w:pPr>
          </w:p>
        </w:tc>
        <w:tc>
          <w:tcPr>
            <w:tcW w:type="dxa" w:w="864"/>
            <w:tcMar>
              <w:top w:w="80" w:type="dxa"/>
              <w:bottom w:w="80" w:type="dxa"/>
              <w:left w:w="80" w:type="dxa"/>
              <w:right w:w="80" w:type="dxa"/>
            </w:tcMar>
          </w:tcPr>
          <w:p>
            <w:pPr>
              <w:spacing w:before="60" w:after="60"/>
              <w:jc w:val="center"/>
            </w:pPr>
          </w:p>
        </w:tc>
        <w:tc>
          <w:tcPr>
            <w:tcW w:type="dxa" w:w="1440"/>
            <w:tcMar>
              <w:top w:w="80" w:type="dxa"/>
              <w:bottom w:w="80" w:type="dxa"/>
              <w:left w:w="80" w:type="dxa"/>
              <w:right w:w="80" w:type="dxa"/>
            </w:tcMar>
          </w:tcPr>
          <w:p>
            <w:pPr>
              <w:spacing w:before="60" w:after="60"/>
              <w:jc w:val="center"/>
            </w:pPr>
          </w:p>
        </w:tc>
      </w:tr>
      <w:tr>
        <w:tc>
          <w:tcPr>
            <w:tcW w:type="dxa" w:w="576"/>
            <w:tcMar>
              <w:top w:w="80" w:type="dxa"/>
              <w:bottom w:w="80" w:type="dxa"/>
              <w:left w:w="80" w:type="dxa"/>
              <w:right w:w="80" w:type="dxa"/>
            </w:tcMar>
          </w:tcPr>
          <w:p>
            <w:pPr>
              <w:spacing w:before="60" w:after="60"/>
              <w:jc w:val="center"/>
            </w:pPr>
          </w:p>
        </w:tc>
        <w:tc>
          <w:tcPr>
            <w:tcW w:type="dxa" w:w="1584"/>
            <w:tcMar>
              <w:top w:w="80" w:type="dxa"/>
              <w:bottom w:w="80" w:type="dxa"/>
              <w:left w:w="80" w:type="dxa"/>
              <w:right w:w="80" w:type="dxa"/>
            </w:tcMar>
          </w:tcPr>
          <w:p>
            <w:pPr>
              <w:spacing w:before="60" w:after="60"/>
              <w:jc w:val="left"/>
            </w:pPr>
          </w:p>
        </w:tc>
        <w:tc>
          <w:tcPr>
            <w:tcW w:type="dxa" w:w="2016"/>
            <w:tcMar>
              <w:top w:w="80" w:type="dxa"/>
              <w:bottom w:w="80" w:type="dxa"/>
              <w:left w:w="80" w:type="dxa"/>
              <w:right w:w="80" w:type="dxa"/>
            </w:tcMar>
          </w:tcPr>
          <w:p>
            <w:pPr>
              <w:spacing w:before="60" w:after="60"/>
              <w:jc w:val="left"/>
            </w:pPr>
          </w:p>
        </w:tc>
        <w:tc>
          <w:tcPr>
            <w:tcW w:type="dxa" w:w="1008"/>
            <w:tcMar>
              <w:top w:w="80" w:type="dxa"/>
              <w:bottom w:w="80" w:type="dxa"/>
              <w:left w:w="80" w:type="dxa"/>
              <w:right w:w="80" w:type="dxa"/>
            </w:tcMar>
          </w:tcPr>
          <w:p>
            <w:pPr>
              <w:spacing w:before="60" w:after="60"/>
              <w:jc w:val="center"/>
            </w:pPr>
          </w:p>
        </w:tc>
        <w:tc>
          <w:tcPr>
            <w:tcW w:type="dxa" w:w="1872"/>
            <w:tcMar>
              <w:top w:w="80" w:type="dxa"/>
              <w:bottom w:w="80" w:type="dxa"/>
              <w:left w:w="80" w:type="dxa"/>
              <w:right w:w="80" w:type="dxa"/>
            </w:tcMar>
          </w:tcPr>
          <w:p>
            <w:pPr>
              <w:spacing w:before="60" w:after="60"/>
              <w:jc w:val="left"/>
            </w:pPr>
          </w:p>
        </w:tc>
        <w:tc>
          <w:tcPr>
            <w:tcW w:type="dxa" w:w="864"/>
            <w:tcMar>
              <w:top w:w="80" w:type="dxa"/>
              <w:bottom w:w="80" w:type="dxa"/>
              <w:left w:w="80" w:type="dxa"/>
              <w:right w:w="80" w:type="dxa"/>
            </w:tcMar>
          </w:tcPr>
          <w:p>
            <w:pPr>
              <w:spacing w:before="60" w:after="60"/>
              <w:jc w:val="center"/>
            </w:pPr>
          </w:p>
        </w:tc>
        <w:tc>
          <w:tcPr>
            <w:tcW w:type="dxa" w:w="1440"/>
            <w:tcMar>
              <w:top w:w="80" w:type="dxa"/>
              <w:bottom w:w="80" w:type="dxa"/>
              <w:left w:w="80" w:type="dxa"/>
              <w:right w:w="80" w:type="dxa"/>
            </w:tcMar>
          </w:tcPr>
          <w:p>
            <w:pPr>
              <w:spacing w:before="60" w:after="60"/>
              <w:jc w:val="center"/>
            </w:pPr>
          </w:p>
        </w:tc>
      </w:tr>
      <w:tr>
        <w:tc>
          <w:tcPr>
            <w:tcW w:type="dxa" w:w="576"/>
            <w:tcMar>
              <w:top w:w="80" w:type="dxa"/>
              <w:bottom w:w="80" w:type="dxa"/>
              <w:left w:w="80" w:type="dxa"/>
              <w:right w:w="80" w:type="dxa"/>
            </w:tcMar>
          </w:tcPr>
          <w:p>
            <w:pPr>
              <w:spacing w:before="60" w:after="60"/>
              <w:jc w:val="center"/>
            </w:pPr>
          </w:p>
        </w:tc>
        <w:tc>
          <w:tcPr>
            <w:tcW w:type="dxa" w:w="1584"/>
            <w:tcMar>
              <w:top w:w="80" w:type="dxa"/>
              <w:bottom w:w="80" w:type="dxa"/>
              <w:left w:w="80" w:type="dxa"/>
              <w:right w:w="80" w:type="dxa"/>
            </w:tcMar>
          </w:tcPr>
          <w:p>
            <w:pPr>
              <w:spacing w:before="60" w:after="60"/>
              <w:jc w:val="left"/>
            </w:pPr>
          </w:p>
        </w:tc>
        <w:tc>
          <w:tcPr>
            <w:tcW w:type="dxa" w:w="2016"/>
            <w:tcMar>
              <w:top w:w="80" w:type="dxa"/>
              <w:bottom w:w="80" w:type="dxa"/>
              <w:left w:w="80" w:type="dxa"/>
              <w:right w:w="80" w:type="dxa"/>
            </w:tcMar>
          </w:tcPr>
          <w:p>
            <w:pPr>
              <w:spacing w:before="60" w:after="60"/>
              <w:jc w:val="left"/>
            </w:pPr>
          </w:p>
        </w:tc>
        <w:tc>
          <w:tcPr>
            <w:tcW w:type="dxa" w:w="1008"/>
            <w:tcMar>
              <w:top w:w="80" w:type="dxa"/>
              <w:bottom w:w="80" w:type="dxa"/>
              <w:left w:w="80" w:type="dxa"/>
              <w:right w:w="80" w:type="dxa"/>
            </w:tcMar>
          </w:tcPr>
          <w:p>
            <w:pPr>
              <w:spacing w:before="60" w:after="60"/>
              <w:jc w:val="center"/>
            </w:pPr>
          </w:p>
        </w:tc>
        <w:tc>
          <w:tcPr>
            <w:tcW w:type="dxa" w:w="1872"/>
            <w:tcMar>
              <w:top w:w="80" w:type="dxa"/>
              <w:bottom w:w="80" w:type="dxa"/>
              <w:left w:w="80" w:type="dxa"/>
              <w:right w:w="80" w:type="dxa"/>
            </w:tcMar>
          </w:tcPr>
          <w:p>
            <w:pPr>
              <w:spacing w:before="60" w:after="60"/>
              <w:jc w:val="left"/>
            </w:pPr>
          </w:p>
        </w:tc>
        <w:tc>
          <w:tcPr>
            <w:tcW w:type="dxa" w:w="864"/>
            <w:tcMar>
              <w:top w:w="80" w:type="dxa"/>
              <w:bottom w:w="80" w:type="dxa"/>
              <w:left w:w="80" w:type="dxa"/>
              <w:right w:w="80" w:type="dxa"/>
            </w:tcMar>
          </w:tcPr>
          <w:p>
            <w:pPr>
              <w:spacing w:before="60" w:after="60"/>
              <w:jc w:val="center"/>
            </w:pPr>
          </w:p>
        </w:tc>
        <w:tc>
          <w:tcPr>
            <w:tcW w:type="dxa" w:w="1440"/>
            <w:tcMar>
              <w:top w:w="80" w:type="dxa"/>
              <w:bottom w:w="80" w:type="dxa"/>
              <w:left w:w="80" w:type="dxa"/>
              <w:right w:w="80" w:type="dxa"/>
            </w:tcMar>
          </w:tcPr>
          <w:p>
            <w:pPr>
              <w:spacing w:before="60" w:after="60"/>
              <w:jc w:val="center"/>
            </w:pPr>
          </w:p>
        </w:tc>
      </w:tr>
    </w:tbl>
    <w:p>
      <w:pPr>
        <w:spacing w:before="0" w:after="360" w:line="276" w:lineRule="auto"/>
      </w:pPr>
    </w:p>
    <w:p>
      <w:pPr>
        <w:pStyle w:val="Heading1"/>
        <w:keepNext/>
        <w:spacing w:before="240" w:after="240"/>
      </w:pPr>
      <w:r>
        <w:rPr>
          <w:rFonts w:ascii="Arial" w:hAnsi="Arial"/>
          <w:color w:val="1F4E79"/>
          <w:sz w:val="28"/>
        </w:rPr>
        <w:t>LAMPIRAN II: FORMULIR ISIAN BANGUNAN TERINDIKASI IDLE</w:t>
      </w:r>
    </w:p>
    <w:p>
      <w:pPr>
        <w:spacing w:before="0" w:after="160" w:line="276" w:lineRule="auto"/>
      </w:pPr>
      <w:r>
        <w:rPr>
          <w:rFonts w:ascii="Arial" w:hAnsi="Arial"/>
          <w:color w:val="333333"/>
          <w:sz w:val="22"/>
        </w:rPr>
        <w:t>Formulir ini digunakan khusus untuk objek BMN berupa bangunan. Jika objek penelitian berupa tanah saja, lembar lampiran ini dapat ditiadakan.</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fill="D9E1F2" w:val="clear"/>
            <w:tcMar>
              <w:top w:w="80" w:type="dxa"/>
              <w:bottom w:w="80" w:type="dxa"/>
              <w:left w:w="80" w:type="dxa"/>
              <w:right w:w="80" w:type="dxa"/>
            </w:tcMar>
          </w:tcPr>
          <w:p>
            <w:pPr>
              <w:spacing w:before="60" w:after="60"/>
              <w:jc w:val="center"/>
            </w:pPr>
            <w:r>
              <w:rPr>
                <w:rFonts w:ascii="Arial" w:hAnsi="Arial"/>
                <w:b/>
                <w:sz w:val="18"/>
              </w:rPr>
              <w:t>No.</w:t>
            </w:r>
          </w:p>
        </w:tc>
        <w:tc>
          <w:tcPr>
            <w:tcW w:type="dxa" w:w="1440"/>
            <w:shd w:fill="D9E1F2" w:val="clear"/>
            <w:tcMar>
              <w:top w:w="80" w:type="dxa"/>
              <w:bottom w:w="80" w:type="dxa"/>
              <w:left w:w="80" w:type="dxa"/>
              <w:right w:w="80" w:type="dxa"/>
            </w:tcMar>
          </w:tcPr>
          <w:p>
            <w:pPr>
              <w:spacing w:before="60" w:after="60"/>
              <w:jc w:val="left"/>
            </w:pPr>
            <w:r>
              <w:rPr>
                <w:rFonts w:ascii="Arial" w:hAnsi="Arial"/>
                <w:b/>
                <w:sz w:val="18"/>
              </w:rPr>
              <w:t>Kode Barang / NUP</w:t>
            </w:r>
          </w:p>
        </w:tc>
        <w:tc>
          <w:tcPr>
            <w:tcW w:type="dxa" w:w="1728"/>
            <w:shd w:fill="D9E1F2" w:val="clear"/>
            <w:tcMar>
              <w:top w:w="80" w:type="dxa"/>
              <w:bottom w:w="80" w:type="dxa"/>
              <w:left w:w="80" w:type="dxa"/>
              <w:right w:w="80" w:type="dxa"/>
            </w:tcMar>
          </w:tcPr>
          <w:p>
            <w:pPr>
              <w:spacing w:before="60" w:after="60"/>
              <w:jc w:val="left"/>
            </w:pPr>
            <w:r>
              <w:rPr>
                <w:rFonts w:ascii="Arial" w:hAnsi="Arial"/>
                <w:b/>
                <w:sz w:val="18"/>
              </w:rPr>
              <w:t>Uraian BMN &amp; Lokasi</w:t>
            </w:r>
          </w:p>
        </w:tc>
        <w:tc>
          <w:tcPr>
            <w:tcW w:type="dxa" w:w="1008"/>
            <w:shd w:fill="D9E1F2" w:val="clear"/>
            <w:tcMar>
              <w:top w:w="80" w:type="dxa"/>
              <w:bottom w:w="80" w:type="dxa"/>
              <w:left w:w="80" w:type="dxa"/>
              <w:right w:w="80" w:type="dxa"/>
            </w:tcMar>
          </w:tcPr>
          <w:p>
            <w:pPr>
              <w:spacing w:before="60" w:after="60"/>
              <w:jc w:val="center"/>
            </w:pPr>
            <w:r>
              <w:rPr>
                <w:rFonts w:ascii="Arial" w:hAnsi="Arial"/>
                <w:b/>
                <w:sz w:val="18"/>
              </w:rPr>
              <w:t>Luas Bangunan (m2)</w:t>
            </w:r>
          </w:p>
        </w:tc>
        <w:tc>
          <w:tcPr>
            <w:tcW w:type="dxa" w:w="1152"/>
            <w:shd w:fill="D9E1F2" w:val="clear"/>
            <w:tcMar>
              <w:top w:w="80" w:type="dxa"/>
              <w:bottom w:w="80" w:type="dxa"/>
              <w:left w:w="80" w:type="dxa"/>
              <w:right w:w="80" w:type="dxa"/>
            </w:tcMar>
          </w:tcPr>
          <w:p>
            <w:pPr>
              <w:spacing w:before="60" w:after="60"/>
              <w:jc w:val="center"/>
            </w:pPr>
            <w:r>
              <w:rPr>
                <w:rFonts w:ascii="Arial" w:hAnsi="Arial"/>
                <w:b/>
                <w:sz w:val="18"/>
              </w:rPr>
              <w:t>Konstruksi (Tingkat)</w:t>
            </w:r>
          </w:p>
        </w:tc>
        <w:tc>
          <w:tcPr>
            <w:tcW w:type="dxa" w:w="1584"/>
            <w:shd w:fill="D9E1F2" w:val="clear"/>
            <w:tcMar>
              <w:top w:w="80" w:type="dxa"/>
              <w:bottom w:w="80" w:type="dxa"/>
              <w:left w:w="80" w:type="dxa"/>
              <w:right w:w="80" w:type="dxa"/>
            </w:tcMar>
          </w:tcPr>
          <w:p>
            <w:pPr>
              <w:spacing w:before="60" w:after="60"/>
              <w:jc w:val="left"/>
            </w:pPr>
            <w:r>
              <w:rPr>
                <w:rFonts w:ascii="Arial" w:hAnsi="Arial"/>
                <w:b/>
                <w:sz w:val="18"/>
              </w:rPr>
              <w:t>Bukti Dokumen PBG</w:t>
            </w:r>
          </w:p>
        </w:tc>
        <w:tc>
          <w:tcPr>
            <w:tcW w:type="dxa" w:w="864"/>
            <w:shd w:fill="D9E1F2" w:val="clear"/>
            <w:tcMar>
              <w:top w:w="80" w:type="dxa"/>
              <w:bottom w:w="80" w:type="dxa"/>
              <w:left w:w="80" w:type="dxa"/>
              <w:right w:w="80" w:type="dxa"/>
            </w:tcMar>
          </w:tcPr>
          <w:p>
            <w:pPr>
              <w:spacing w:before="60" w:after="60"/>
              <w:jc w:val="center"/>
            </w:pPr>
            <w:r>
              <w:rPr>
                <w:rFonts w:ascii="Arial" w:hAnsi="Arial"/>
                <w:b/>
                <w:sz w:val="18"/>
              </w:rPr>
              <w:t>Kondisi</w:t>
            </w:r>
          </w:p>
        </w:tc>
        <w:tc>
          <w:tcPr>
            <w:tcW w:type="dxa" w:w="1152"/>
            <w:shd w:fill="D9E1F2" w:val="clear"/>
            <w:tcMar>
              <w:top w:w="80" w:type="dxa"/>
              <w:bottom w:w="80" w:type="dxa"/>
              <w:left w:w="80" w:type="dxa"/>
              <w:right w:w="80" w:type="dxa"/>
            </w:tcMar>
          </w:tcPr>
          <w:p>
            <w:pPr>
              <w:spacing w:before="60" w:after="60"/>
              <w:jc w:val="center"/>
            </w:pPr>
            <w:r>
              <w:rPr>
                <w:rFonts w:ascii="Arial" w:hAnsi="Arial"/>
                <w:b/>
                <w:sz w:val="18"/>
              </w:rPr>
              <w:t>Nilai Buku (Rp)</w:t>
            </w:r>
          </w:p>
        </w:tc>
      </w:tr>
      <w:tr>
        <w:tc>
          <w:tcPr>
            <w:tcW w:type="dxa" w:w="576"/>
            <w:tcMar>
              <w:top w:w="80" w:type="dxa"/>
              <w:bottom w:w="80" w:type="dxa"/>
              <w:left w:w="80" w:type="dxa"/>
              <w:right w:w="80" w:type="dxa"/>
            </w:tcMar>
          </w:tcPr>
          <w:p>
            <w:pPr>
              <w:spacing w:before="60" w:after="60"/>
              <w:jc w:val="center"/>
            </w:pPr>
            <w:r>
              <w:rPr>
                <w:rFonts w:ascii="Arial" w:hAnsi="Arial"/>
                <w:sz w:val="18"/>
              </w:rPr>
              <w:t>1.</w:t>
            </w:r>
          </w:p>
        </w:tc>
        <w:tc>
          <w:tcPr>
            <w:tcW w:type="dxa" w:w="1440"/>
            <w:tcMar>
              <w:top w:w="80" w:type="dxa"/>
              <w:bottom w:w="80" w:type="dxa"/>
              <w:left w:w="80" w:type="dxa"/>
              <w:right w:w="80" w:type="dxa"/>
            </w:tcMar>
          </w:tcPr>
          <w:p>
            <w:pPr>
              <w:spacing w:before="60" w:after="60"/>
              <w:jc w:val="left"/>
            </w:pPr>
            <w:r>
              <w:rPr>
                <w:rFonts w:ascii="Arial" w:hAnsi="Arial"/>
                <w:sz w:val="18"/>
              </w:rPr>
              <w:t>4.01.01.01.001 / NUP 1</w:t>
            </w:r>
          </w:p>
        </w:tc>
        <w:tc>
          <w:tcPr>
            <w:tcW w:type="dxa" w:w="1728"/>
            <w:tcMar>
              <w:top w:w="80" w:type="dxa"/>
              <w:bottom w:w="80" w:type="dxa"/>
              <w:left w:w="80" w:type="dxa"/>
              <w:right w:w="80" w:type="dxa"/>
            </w:tcMar>
          </w:tcPr>
          <w:p>
            <w:pPr>
              <w:spacing w:before="60" w:after="60"/>
              <w:jc w:val="left"/>
            </w:pPr>
            <w:r>
              <w:rPr>
                <w:rFonts w:ascii="Arial" w:hAnsi="Arial"/>
                <w:sz w:val="18"/>
              </w:rPr>
              <w:t>Gedung Kantor Permanen</w:t>
              <w:br/>
              <w:t>Jl. Merdeka No. 10, Kota Raya</w:t>
            </w:r>
          </w:p>
        </w:tc>
        <w:tc>
          <w:tcPr>
            <w:tcW w:type="dxa" w:w="1008"/>
            <w:tcMar>
              <w:top w:w="80" w:type="dxa"/>
              <w:bottom w:w="80" w:type="dxa"/>
              <w:left w:w="80" w:type="dxa"/>
              <w:right w:w="80" w:type="dxa"/>
            </w:tcMar>
          </w:tcPr>
          <w:p>
            <w:pPr>
              <w:spacing w:before="60" w:after="60"/>
              <w:jc w:val="center"/>
            </w:pPr>
            <w:r>
              <w:rPr>
                <w:rFonts w:ascii="Arial" w:hAnsi="Arial"/>
                <w:sz w:val="18"/>
              </w:rPr>
              <w:t>850</w:t>
            </w:r>
          </w:p>
        </w:tc>
        <w:tc>
          <w:tcPr>
            <w:tcW w:type="dxa" w:w="1152"/>
            <w:tcMar>
              <w:top w:w="80" w:type="dxa"/>
              <w:bottom w:w="80" w:type="dxa"/>
              <w:left w:w="80" w:type="dxa"/>
              <w:right w:w="80" w:type="dxa"/>
            </w:tcMar>
          </w:tcPr>
          <w:p>
            <w:pPr>
              <w:spacing w:before="60" w:after="60"/>
              <w:jc w:val="center"/>
            </w:pPr>
            <w:r>
              <w:rPr>
                <w:rFonts w:ascii="Arial" w:hAnsi="Arial"/>
                <w:sz w:val="18"/>
              </w:rPr>
              <w:t>Beton (2 Lantai)</w:t>
            </w:r>
          </w:p>
        </w:tc>
        <w:tc>
          <w:tcPr>
            <w:tcW w:type="dxa" w:w="1584"/>
            <w:tcMar>
              <w:top w:w="80" w:type="dxa"/>
              <w:bottom w:w="80" w:type="dxa"/>
              <w:left w:w="80" w:type="dxa"/>
              <w:right w:w="80" w:type="dxa"/>
            </w:tcMar>
          </w:tcPr>
          <w:p>
            <w:pPr>
              <w:spacing w:before="60" w:after="60"/>
              <w:jc w:val="left"/>
            </w:pPr>
            <w:r>
              <w:rPr>
                <w:rFonts w:ascii="Arial" w:hAnsi="Arial"/>
                <w:sz w:val="18"/>
              </w:rPr>
              <w:t>IMB No. 456/2012</w:t>
              <w:br/>
              <w:t>Tanggal 20 Juli 2012</w:t>
            </w:r>
          </w:p>
        </w:tc>
        <w:tc>
          <w:tcPr>
            <w:tcW w:type="dxa" w:w="864"/>
            <w:tcMar>
              <w:top w:w="80" w:type="dxa"/>
              <w:bottom w:w="80" w:type="dxa"/>
              <w:left w:w="80" w:type="dxa"/>
              <w:right w:w="80" w:type="dxa"/>
            </w:tcMar>
          </w:tcPr>
          <w:p>
            <w:pPr>
              <w:spacing w:before="60" w:after="60"/>
              <w:jc w:val="center"/>
            </w:pPr>
            <w:r>
              <w:rPr>
                <w:rFonts w:ascii="Arial" w:hAnsi="Arial"/>
                <w:sz w:val="18"/>
              </w:rPr>
              <w:t>Rusak Ringan</w:t>
            </w:r>
          </w:p>
        </w:tc>
        <w:tc>
          <w:tcPr>
            <w:tcW w:type="dxa" w:w="1152"/>
            <w:tcMar>
              <w:top w:w="80" w:type="dxa"/>
              <w:bottom w:w="80" w:type="dxa"/>
              <w:left w:w="80" w:type="dxa"/>
              <w:right w:w="80" w:type="dxa"/>
            </w:tcMar>
          </w:tcPr>
          <w:p>
            <w:pPr>
              <w:spacing w:before="60" w:after="60"/>
              <w:jc w:val="center"/>
            </w:pPr>
            <w:r>
              <w:rPr>
                <w:rFonts w:ascii="Arial" w:hAnsi="Arial"/>
                <w:sz w:val="18"/>
              </w:rPr>
              <w:t>1,200,000,000</w:t>
            </w:r>
          </w:p>
        </w:tc>
      </w:tr>
      <w:tr>
        <w:tc>
          <w:tcPr>
            <w:tcW w:type="dxa" w:w="576"/>
            <w:tcMar>
              <w:top w:w="80" w:type="dxa"/>
              <w:bottom w:w="80" w:type="dxa"/>
              <w:left w:w="80" w:type="dxa"/>
              <w:right w:w="80" w:type="dxa"/>
            </w:tcMar>
          </w:tcPr>
          <w:p>
            <w:pPr>
              <w:spacing w:before="60" w:after="60"/>
              <w:jc w:val="center"/>
            </w:pPr>
            <w:r>
              <w:rPr>
                <w:rFonts w:ascii="Arial" w:hAnsi="Arial"/>
                <w:sz w:val="18"/>
              </w:rPr>
              <w:t>2.</w:t>
            </w:r>
          </w:p>
        </w:tc>
        <w:tc>
          <w:tcPr>
            <w:tcW w:type="dxa" w:w="1440"/>
            <w:tcMar>
              <w:top w:w="80" w:type="dxa"/>
              <w:bottom w:w="80" w:type="dxa"/>
              <w:left w:w="80" w:type="dxa"/>
              <w:right w:w="80" w:type="dxa"/>
            </w:tcMar>
          </w:tcPr>
          <w:p>
            <w:pPr>
              <w:spacing w:before="60" w:after="60"/>
              <w:jc w:val="left"/>
            </w:pPr>
            <w:r>
              <w:rPr>
                <w:rFonts w:ascii="Arial" w:hAnsi="Arial"/>
                <w:sz w:val="18"/>
              </w:rPr>
              <w:t>[____]</w:t>
            </w:r>
          </w:p>
        </w:tc>
        <w:tc>
          <w:tcPr>
            <w:tcW w:type="dxa" w:w="1728"/>
            <w:tcMar>
              <w:top w:w="80" w:type="dxa"/>
              <w:bottom w:w="80" w:type="dxa"/>
              <w:left w:w="80" w:type="dxa"/>
              <w:right w:w="80" w:type="dxa"/>
            </w:tcMar>
          </w:tcPr>
          <w:p>
            <w:pPr>
              <w:spacing w:before="60" w:after="60"/>
              <w:jc w:val="left"/>
            </w:pPr>
            <w:r>
              <w:rPr>
                <w:rFonts w:ascii="Arial" w:hAnsi="Arial"/>
                <w:sz w:val="18"/>
              </w:rPr>
              <w:t>[____]</w:t>
            </w:r>
          </w:p>
        </w:tc>
        <w:tc>
          <w:tcPr>
            <w:tcW w:type="dxa" w:w="1008"/>
            <w:tcMar>
              <w:top w:w="80" w:type="dxa"/>
              <w:bottom w:w="80" w:type="dxa"/>
              <w:left w:w="80" w:type="dxa"/>
              <w:right w:w="80" w:type="dxa"/>
            </w:tcMar>
          </w:tcPr>
          <w:p>
            <w:pPr>
              <w:spacing w:before="60" w:after="60"/>
              <w:jc w:val="center"/>
            </w:pPr>
            <w:r>
              <w:rPr>
                <w:rFonts w:ascii="Arial" w:hAnsi="Arial"/>
                <w:sz w:val="18"/>
              </w:rPr>
              <w:t>[____]</w:t>
            </w:r>
          </w:p>
        </w:tc>
        <w:tc>
          <w:tcPr>
            <w:tcW w:type="dxa" w:w="1152"/>
            <w:tcMar>
              <w:top w:w="80" w:type="dxa"/>
              <w:bottom w:w="80" w:type="dxa"/>
              <w:left w:w="80" w:type="dxa"/>
              <w:right w:w="80" w:type="dxa"/>
            </w:tcMar>
          </w:tcPr>
          <w:p>
            <w:pPr>
              <w:spacing w:before="60" w:after="60"/>
              <w:jc w:val="center"/>
            </w:pPr>
            <w:r>
              <w:rPr>
                <w:rFonts w:ascii="Arial" w:hAnsi="Arial"/>
                <w:sz w:val="18"/>
              </w:rPr>
              <w:t>[____]</w:t>
            </w:r>
          </w:p>
        </w:tc>
        <w:tc>
          <w:tcPr>
            <w:tcW w:type="dxa" w:w="1584"/>
            <w:tcMar>
              <w:top w:w="80" w:type="dxa"/>
              <w:bottom w:w="80" w:type="dxa"/>
              <w:left w:w="80" w:type="dxa"/>
              <w:right w:w="80" w:type="dxa"/>
            </w:tcMar>
          </w:tcPr>
          <w:p>
            <w:pPr>
              <w:spacing w:before="60" w:after="60"/>
              <w:jc w:val="left"/>
            </w:pPr>
            <w:r>
              <w:rPr>
                <w:rFonts w:ascii="Arial" w:hAnsi="Arial"/>
                <w:sz w:val="18"/>
              </w:rPr>
              <w:t>[____]</w:t>
            </w:r>
          </w:p>
        </w:tc>
        <w:tc>
          <w:tcPr>
            <w:tcW w:type="dxa" w:w="864"/>
            <w:tcMar>
              <w:top w:w="80" w:type="dxa"/>
              <w:bottom w:w="80" w:type="dxa"/>
              <w:left w:w="80" w:type="dxa"/>
              <w:right w:w="80" w:type="dxa"/>
            </w:tcMar>
          </w:tcPr>
          <w:p>
            <w:pPr>
              <w:spacing w:before="60" w:after="60"/>
              <w:jc w:val="center"/>
            </w:pPr>
            <w:r>
              <w:rPr>
                <w:rFonts w:ascii="Arial" w:hAnsi="Arial"/>
                <w:sz w:val="18"/>
              </w:rPr>
              <w:t>[____]</w:t>
            </w:r>
          </w:p>
        </w:tc>
        <w:tc>
          <w:tcPr>
            <w:tcW w:type="dxa" w:w="1152"/>
            <w:tcMar>
              <w:top w:w="80" w:type="dxa"/>
              <w:bottom w:w="80" w:type="dxa"/>
              <w:left w:w="80" w:type="dxa"/>
              <w:right w:w="80" w:type="dxa"/>
            </w:tcMar>
          </w:tcPr>
          <w:p>
            <w:pPr>
              <w:spacing w:before="60" w:after="60"/>
              <w:jc w:val="center"/>
            </w:pPr>
            <w:r>
              <w:rPr>
                <w:rFonts w:ascii="Arial" w:hAnsi="Arial"/>
                <w:sz w:val="18"/>
              </w:rPr>
              <w:t>[____]</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8"/>
      </w:rPr>
      <w:t xml:space="preserve">Laporan Hasil Penelitian BMN Terindikasi Idle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