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E3A5F"/>
          <w:sz w:val="26"/>
        </w:rPr>
        <w:t>CPIPM Table Style Sample — row height options</w:t>
      </w:r>
    </w:p>
    <w:p>
      <w:r>
        <w:rPr>
          <w:i/>
          <w:color w:val="6B7280"/>
          <w:sz w:val="18"/>
        </w:rPr>
        <w:t>All three options use the same 9.5 pt font with tight left/right cell margins. The only difference is the minimum row height and vertical centring.</w:t>
      </w:r>
    </w:p>
    <w:p>
      <w:pPr>
        <w:spacing w:before="200" w:after="60"/>
      </w:pPr>
      <w:r>
        <w:rPr>
          <w:b/>
          <w:color w:val="1E3A5F"/>
          <w:sz w:val="20"/>
        </w:rPr>
        <w:t>Option A — auto height (original style, no minimum)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tcMar>
              <w:top w:w="36" w:type="dxa"/>
              <w:bottom w:w="36" w:type="dxa"/>
              <w:left w:w="108" w:type="dxa"/>
              <w:right w:w="108" w:type="dxa"/>
            </w:tcMar>
            <w:vAlign w:val="center"/>
            <w:shd w:val="clear" w:color="auto" w:fill="1E3A5F"/>
          </w:tcPr>
          <w:p>
            <w:r>
              <w:rPr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6480"/>
            <w:tcMar>
              <w:top w:w="36" w:type="dxa"/>
              <w:bottom w:w="36" w:type="dxa"/>
              <w:left w:w="108" w:type="dxa"/>
              <w:right w:w="108" w:type="dxa"/>
            </w:tcMar>
            <w:vAlign w:val="center"/>
            <w:shd w:val="clear" w:color="auto" w:fill="1E3A5F"/>
          </w:tcPr>
          <w:p>
            <w:r>
              <w:rPr>
                <w:b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2880"/>
            <w:tcMar>
              <w:top w:w="36" w:type="dxa"/>
              <w:bottom w:w="36" w:type="dxa"/>
              <w:left w:w="108" w:type="dxa"/>
              <w:right w:w="108" w:type="dxa"/>
            </w:tcMar>
            <w:vAlign w:val="center"/>
            <w:shd w:val="clear" w:color="auto" w:fill="EBF8F7"/>
          </w:tcPr>
          <w:p>
            <w:r>
              <w:rPr>
                <w:b/>
                <w:color w:val="1E3A5F"/>
                <w:sz w:val="19"/>
              </w:rPr>
              <w:t>Target application</w:t>
            </w:r>
          </w:p>
        </w:tc>
        <w:tc>
          <w:tcPr>
            <w:tcW w:type="dxa" w:w="6480"/>
            <w:tcMar>
              <w:top w:w="36" w:type="dxa"/>
              <w:bottom w:w="36" w:type="dxa"/>
              <w:left w:w="108" w:type="dxa"/>
              <w:right w:w="108" w:type="dxa"/>
            </w:tcMar>
            <w:vAlign w:val="center"/>
            <w:shd w:val="clear" w:color="auto" w:fill="EBF8F7"/>
          </w:tcPr>
          <w:p>
            <w:r>
              <w:rPr>
                <w:color w:val="111827"/>
                <w:sz w:val="19"/>
              </w:rPr>
              <w:t>UDI labeling inline inspection — single station, single scan lane</w:t>
            </w:r>
          </w:p>
        </w:tc>
      </w:tr>
      <w:tr>
        <w:tc>
          <w:tcPr>
            <w:tcW w:type="dxa" w:w="2880"/>
            <w:tcMar>
              <w:top w:w="36" w:type="dxa"/>
              <w:bottom w:w="36" w:type="dxa"/>
              <w:left w:w="108" w:type="dxa"/>
              <w:right w:w="108" w:type="dxa"/>
            </w:tcMar>
            <w:vAlign w:val="center"/>
            <w:shd w:val="clear" w:color="auto" w:fill="FFFFFF"/>
          </w:tcPr>
          <w:p>
            <w:r>
              <w:rPr>
                <w:b/>
                <w:color w:val="1E3A5F"/>
                <w:sz w:val="19"/>
              </w:rPr>
              <w:t>Scanner</w:t>
            </w:r>
          </w:p>
        </w:tc>
        <w:tc>
          <w:tcPr>
            <w:tcW w:type="dxa" w:w="6480"/>
            <w:tcMar>
              <w:top w:w="36" w:type="dxa"/>
              <w:bottom w:w="36" w:type="dxa"/>
              <w:left w:w="108" w:type="dxa"/>
              <w:right w:w="108" w:type="dxa"/>
            </w:tcMar>
            <w:vAlign w:val="center"/>
            <w:shd w:val="clear" w:color="auto" w:fill="FFFFFF"/>
          </w:tcPr>
          <w:p>
            <w:r>
              <w:rPr>
                <w:color w:val="111827"/>
                <w:sz w:val="19"/>
              </w:rPr>
              <w:t>Cognex DM-475V-LBL on desktop stand adapted for conveyor use</w:t>
            </w:r>
          </w:p>
        </w:tc>
      </w:tr>
      <w:tr>
        <w:tc>
          <w:tcPr>
            <w:tcW w:type="dxa" w:w="2880"/>
            <w:tcMar>
              <w:top w:w="36" w:type="dxa"/>
              <w:bottom w:w="36" w:type="dxa"/>
              <w:left w:w="108" w:type="dxa"/>
              <w:right w:w="108" w:type="dxa"/>
            </w:tcMar>
            <w:vAlign w:val="center"/>
            <w:shd w:val="clear" w:color="auto" w:fill="EBF8F7"/>
          </w:tcPr>
          <w:p>
            <w:r>
              <w:rPr>
                <w:b/>
                <w:color w:val="1E3A5F"/>
                <w:sz w:val="19"/>
              </w:rPr>
              <w:t>Barcode type</w:t>
            </w:r>
          </w:p>
        </w:tc>
        <w:tc>
          <w:tcPr>
            <w:tcW w:type="dxa" w:w="6480"/>
            <w:tcMar>
              <w:top w:w="36" w:type="dxa"/>
              <w:bottom w:w="36" w:type="dxa"/>
              <w:left w:w="108" w:type="dxa"/>
              <w:right w:w="108" w:type="dxa"/>
            </w:tcMar>
            <w:vAlign w:val="center"/>
            <w:shd w:val="clear" w:color="auto" w:fill="EBF8F7"/>
          </w:tcPr>
          <w:p>
            <w:r>
              <w:rPr>
                <w:color w:val="111827"/>
                <w:sz w:val="19"/>
              </w:rPr>
              <w:t>GS1 DataMatrix only</w:t>
            </w:r>
          </w:p>
        </w:tc>
      </w:tr>
      <w:tr>
        <w:tc>
          <w:tcPr>
            <w:tcW w:type="dxa" w:w="2880"/>
            <w:tcMar>
              <w:top w:w="36" w:type="dxa"/>
              <w:bottom w:w="36" w:type="dxa"/>
              <w:left w:w="108" w:type="dxa"/>
              <w:right w:w="108" w:type="dxa"/>
            </w:tcMar>
            <w:vAlign w:val="center"/>
            <w:shd w:val="clear" w:color="auto" w:fill="FFFFFF"/>
          </w:tcPr>
          <w:p>
            <w:r>
              <w:rPr>
                <w:b/>
                <w:color w:val="1E3A5F"/>
                <w:sz w:val="19"/>
              </w:rPr>
              <w:t>Trigger mode</w:t>
            </w:r>
          </w:p>
        </w:tc>
        <w:tc>
          <w:tcPr>
            <w:tcW w:type="dxa" w:w="6480"/>
            <w:tcMar>
              <w:top w:w="36" w:type="dxa"/>
              <w:bottom w:w="36" w:type="dxa"/>
              <w:left w:w="108" w:type="dxa"/>
              <w:right w:w="108" w:type="dxa"/>
            </w:tcMar>
            <w:vAlign w:val="center"/>
            <w:shd w:val="clear" w:color="auto" w:fill="FFFFFF"/>
          </w:tcPr>
          <w:p>
            <w:r>
              <w:rPr>
                <w:color w:val="111827"/>
                <w:sz w:val="19"/>
              </w:rPr>
              <w:t>Photosensor hardware item-presence (default); auto-cycle and manual also supported</w:t>
            </w:r>
          </w:p>
        </w:tc>
      </w:tr>
      <w:tr>
        <w:tc>
          <w:tcPr>
            <w:tcW w:type="dxa" w:w="2880"/>
            <w:tcMar>
              <w:top w:w="36" w:type="dxa"/>
              <w:bottom w:w="36" w:type="dxa"/>
              <w:left w:w="108" w:type="dxa"/>
              <w:right w:w="108" w:type="dxa"/>
            </w:tcMar>
            <w:vAlign w:val="center"/>
            <w:shd w:val="clear" w:color="auto" w:fill="EBF8F7"/>
          </w:tcPr>
          <w:p>
            <w:r>
              <w:rPr>
                <w:b/>
                <w:color w:val="1E3A5F"/>
                <w:sz w:val="19"/>
              </w:rPr>
              <w:t>Indicator pole</w:t>
            </w:r>
          </w:p>
        </w:tc>
        <w:tc>
          <w:tcPr>
            <w:tcW w:type="dxa" w:w="6480"/>
            <w:tcMar>
              <w:top w:w="36" w:type="dxa"/>
              <w:bottom w:w="36" w:type="dxa"/>
              <w:left w:w="108" w:type="dxa"/>
              <w:right w:w="108" w:type="dxa"/>
            </w:tcMar>
            <w:vAlign w:val="center"/>
            <w:shd w:val="clear" w:color="auto" w:fill="EBF8F7"/>
          </w:tcPr>
          <w:p>
            <w:r>
              <w:rPr>
                <w:color w:val="111827"/>
                <w:sz w:val="19"/>
              </w:rPr>
              <w:t>3–5 segment light pole with per-color steady/flash states; audible alarm — TBD Engineering</w:t>
            </w:r>
          </w:p>
        </w:tc>
      </w:tr>
      <w:tr>
        <w:tc>
          <w:tcPr>
            <w:tcW w:type="dxa" w:w="2880"/>
            <w:tcMar>
              <w:top w:w="36" w:type="dxa"/>
              <w:bottom w:w="36" w:type="dxa"/>
              <w:left w:w="108" w:type="dxa"/>
              <w:right w:w="108" w:type="dxa"/>
            </w:tcMar>
            <w:vAlign w:val="center"/>
            <w:shd w:val="clear" w:color="auto" w:fill="FFFFFF"/>
          </w:tcPr>
          <w:p>
            <w:r>
              <w:rPr>
                <w:b/>
                <w:color w:val="1E3A5F"/>
                <w:sz w:val="19"/>
              </w:rPr>
              <w:t>Conveyor control</w:t>
            </w:r>
          </w:p>
        </w:tc>
        <w:tc>
          <w:tcPr>
            <w:tcW w:type="dxa" w:w="6480"/>
            <w:tcMar>
              <w:top w:w="36" w:type="dxa"/>
              <w:bottom w:w="36" w:type="dxa"/>
              <w:left w:w="108" w:type="dxa"/>
              <w:right w:w="108" w:type="dxa"/>
            </w:tcMar>
            <w:vAlign w:val="center"/>
            <w:shd w:val="clear" w:color="auto" w:fill="FFFFFF"/>
          </w:tcPr>
          <w:p>
            <w:r>
              <w:rPr>
                <w:color w:val="111827"/>
                <w:sz w:val="19"/>
              </w:rPr>
              <w:t>Pusher divert on fail; line-stop behaviour TBD Engineering</w:t>
            </w:r>
          </w:p>
        </w:tc>
      </w:tr>
      <w:tr>
        <w:tc>
          <w:tcPr>
            <w:tcW w:type="dxa" w:w="2880"/>
            <w:tcMar>
              <w:top w:w="36" w:type="dxa"/>
              <w:bottom w:w="36" w:type="dxa"/>
              <w:left w:w="108" w:type="dxa"/>
              <w:right w:w="108" w:type="dxa"/>
            </w:tcMar>
            <w:vAlign w:val="center"/>
            <w:shd w:val="clear" w:color="auto" w:fill="EBF8F7"/>
          </w:tcPr>
          <w:p>
            <w:r>
              <w:rPr>
                <w:b/>
                <w:color w:val="1E3A5F"/>
                <w:sz w:val="19"/>
              </w:rPr>
              <w:t>Timeline</w:t>
            </w:r>
          </w:p>
        </w:tc>
        <w:tc>
          <w:tcPr>
            <w:tcW w:type="dxa" w:w="6480"/>
            <w:tcMar>
              <w:top w:w="36" w:type="dxa"/>
              <w:bottom w:w="36" w:type="dxa"/>
              <w:left w:w="108" w:type="dxa"/>
              <w:right w:w="108" w:type="dxa"/>
            </w:tcMar>
            <w:vAlign w:val="center"/>
            <w:shd w:val="clear" w:color="auto" w:fill="EBF8F7"/>
          </w:tcPr>
          <w:p>
            <w:r>
              <w:rPr>
                <w:color w:val="111827"/>
                <w:sz w:val="19"/>
              </w:rPr>
              <w:t>Wk 1–3: Build &amp; test  |  Wk 4: PE trial run  |  Wk 5: Harden  |  Wk 6: Go-live</w:t>
            </w:r>
          </w:p>
        </w:tc>
      </w:tr>
      <w:tr>
        <w:tc>
          <w:tcPr>
            <w:tcW w:type="dxa" w:w="2880"/>
            <w:tcMar>
              <w:top w:w="36" w:type="dxa"/>
              <w:bottom w:w="36" w:type="dxa"/>
              <w:left w:w="108" w:type="dxa"/>
              <w:right w:w="108" w:type="dxa"/>
            </w:tcMar>
            <w:vAlign w:val="center"/>
            <w:shd w:val="clear" w:color="auto" w:fill="FFFFFF"/>
          </w:tcPr>
          <w:p>
            <w:r>
              <w:rPr>
                <w:b/>
                <w:color w:val="1E3A5F"/>
                <w:sz w:val="19"/>
              </w:rPr>
              <w:t>Physical product</w:t>
            </w:r>
          </w:p>
        </w:tc>
        <w:tc>
          <w:tcPr>
            <w:tcW w:type="dxa" w:w="6480"/>
            <w:tcMar>
              <w:top w:w="36" w:type="dxa"/>
              <w:bottom w:w="36" w:type="dxa"/>
              <w:left w:w="108" w:type="dxa"/>
              <w:right w:w="108" w:type="dxa"/>
            </w:tcMar>
            <w:vAlign w:val="center"/>
            <w:shd w:val="clear" w:color="auto" w:fill="FFFFFF"/>
          </w:tcPr>
          <w:p>
            <w:r>
              <w:rPr>
                <w:color w:val="111827"/>
                <w:sz w:val="19"/>
              </w:rPr>
              <w:t>Small folding cartons (~cell phone to paperback size, 1.25–1.75" thick), conveyed flat, narrow edge leading — virus and diagnostic test kits</w:t>
            </w:r>
          </w:p>
        </w:tc>
      </w:tr>
    </w:tbl>
    <w:p/>
    <w:p>
      <w:pPr>
        <w:spacing w:before="200" w:after="60"/>
      </w:pPr>
      <w:r>
        <w:rPr>
          <w:b/>
          <w:color w:val="1E3A5F"/>
          <w:sz w:val="20"/>
        </w:rPr>
        <w:t>Option B — min row height 0.30 in, text centred  (≈ +100% on single-line rows)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rHeight w:val="432" w:hRule="atLeast"/>
        </w:trPr>
        <w:tc>
          <w:tcPr>
            <w:tcW w:type="dxa" w:w="2880"/>
            <w:tcMar>
              <w:top w:w="36" w:type="dxa"/>
              <w:bottom w:w="36" w:type="dxa"/>
              <w:left w:w="108" w:type="dxa"/>
              <w:right w:w="108" w:type="dxa"/>
            </w:tcMar>
            <w:vAlign w:val="center"/>
            <w:shd w:val="clear" w:color="auto" w:fill="1E3A5F"/>
          </w:tcPr>
          <w:p>
            <w:r>
              <w:rPr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6480"/>
            <w:tcMar>
              <w:top w:w="36" w:type="dxa"/>
              <w:bottom w:w="36" w:type="dxa"/>
              <w:left w:w="108" w:type="dxa"/>
              <w:right w:w="108" w:type="dxa"/>
            </w:tcMar>
            <w:vAlign w:val="center"/>
            <w:shd w:val="clear" w:color="auto" w:fill="1E3A5F"/>
          </w:tcPr>
          <w:p>
            <w:r>
              <w:rPr>
                <w:b/>
                <w:color w:val="FFFFFF"/>
                <w:sz w:val="19"/>
              </w:rPr>
              <w:t>Value</w:t>
            </w:r>
          </w:p>
        </w:tc>
      </w:tr>
      <w:tr>
        <w:trPr>
          <w:trHeight w:val="432" w:hRule="atLeast"/>
        </w:trPr>
        <w:tc>
          <w:tcPr>
            <w:tcW w:type="dxa" w:w="2880"/>
            <w:tcMar>
              <w:top w:w="36" w:type="dxa"/>
              <w:bottom w:w="36" w:type="dxa"/>
              <w:left w:w="108" w:type="dxa"/>
              <w:right w:w="108" w:type="dxa"/>
            </w:tcMar>
            <w:vAlign w:val="center"/>
            <w:shd w:val="clear" w:color="auto" w:fill="EBF8F7"/>
          </w:tcPr>
          <w:p>
            <w:r>
              <w:rPr>
                <w:b/>
                <w:color w:val="1E3A5F"/>
                <w:sz w:val="19"/>
              </w:rPr>
              <w:t>Target application</w:t>
            </w:r>
          </w:p>
        </w:tc>
        <w:tc>
          <w:tcPr>
            <w:tcW w:type="dxa" w:w="6480"/>
            <w:tcMar>
              <w:top w:w="36" w:type="dxa"/>
              <w:bottom w:w="36" w:type="dxa"/>
              <w:left w:w="108" w:type="dxa"/>
              <w:right w:w="108" w:type="dxa"/>
            </w:tcMar>
            <w:vAlign w:val="center"/>
            <w:shd w:val="clear" w:color="auto" w:fill="EBF8F7"/>
          </w:tcPr>
          <w:p>
            <w:r>
              <w:rPr>
                <w:color w:val="111827"/>
                <w:sz w:val="19"/>
              </w:rPr>
              <w:t>UDI labeling inline inspection — single station, single scan lane</w:t>
            </w:r>
          </w:p>
        </w:tc>
      </w:tr>
      <w:tr>
        <w:trPr>
          <w:trHeight w:val="432" w:hRule="atLeast"/>
        </w:trPr>
        <w:tc>
          <w:tcPr>
            <w:tcW w:type="dxa" w:w="2880"/>
            <w:tcMar>
              <w:top w:w="36" w:type="dxa"/>
              <w:bottom w:w="36" w:type="dxa"/>
              <w:left w:w="108" w:type="dxa"/>
              <w:right w:w="108" w:type="dxa"/>
            </w:tcMar>
            <w:vAlign w:val="center"/>
            <w:shd w:val="clear" w:color="auto" w:fill="FFFFFF"/>
          </w:tcPr>
          <w:p>
            <w:r>
              <w:rPr>
                <w:b/>
                <w:color w:val="1E3A5F"/>
                <w:sz w:val="19"/>
              </w:rPr>
              <w:t>Scanner</w:t>
            </w:r>
          </w:p>
        </w:tc>
        <w:tc>
          <w:tcPr>
            <w:tcW w:type="dxa" w:w="6480"/>
            <w:tcMar>
              <w:top w:w="36" w:type="dxa"/>
              <w:bottom w:w="36" w:type="dxa"/>
              <w:left w:w="108" w:type="dxa"/>
              <w:right w:w="108" w:type="dxa"/>
            </w:tcMar>
            <w:vAlign w:val="center"/>
            <w:shd w:val="clear" w:color="auto" w:fill="FFFFFF"/>
          </w:tcPr>
          <w:p>
            <w:r>
              <w:rPr>
                <w:color w:val="111827"/>
                <w:sz w:val="19"/>
              </w:rPr>
              <w:t>Cognex DM-475V-LBL on desktop stand adapted for conveyor use</w:t>
            </w:r>
          </w:p>
        </w:tc>
      </w:tr>
      <w:tr>
        <w:trPr>
          <w:trHeight w:val="432" w:hRule="atLeast"/>
        </w:trPr>
        <w:tc>
          <w:tcPr>
            <w:tcW w:type="dxa" w:w="2880"/>
            <w:tcMar>
              <w:top w:w="36" w:type="dxa"/>
              <w:bottom w:w="36" w:type="dxa"/>
              <w:left w:w="108" w:type="dxa"/>
              <w:right w:w="108" w:type="dxa"/>
            </w:tcMar>
            <w:vAlign w:val="center"/>
            <w:shd w:val="clear" w:color="auto" w:fill="EBF8F7"/>
          </w:tcPr>
          <w:p>
            <w:r>
              <w:rPr>
                <w:b/>
                <w:color w:val="1E3A5F"/>
                <w:sz w:val="19"/>
              </w:rPr>
              <w:t>Barcode type</w:t>
            </w:r>
          </w:p>
        </w:tc>
        <w:tc>
          <w:tcPr>
            <w:tcW w:type="dxa" w:w="6480"/>
            <w:tcMar>
              <w:top w:w="36" w:type="dxa"/>
              <w:bottom w:w="36" w:type="dxa"/>
              <w:left w:w="108" w:type="dxa"/>
              <w:right w:w="108" w:type="dxa"/>
            </w:tcMar>
            <w:vAlign w:val="center"/>
            <w:shd w:val="clear" w:color="auto" w:fill="EBF8F7"/>
          </w:tcPr>
          <w:p>
            <w:r>
              <w:rPr>
                <w:color w:val="111827"/>
                <w:sz w:val="19"/>
              </w:rPr>
              <w:t>GS1 DataMatrix only</w:t>
            </w:r>
          </w:p>
        </w:tc>
      </w:tr>
      <w:tr>
        <w:trPr>
          <w:trHeight w:val="432" w:hRule="atLeast"/>
        </w:trPr>
        <w:tc>
          <w:tcPr>
            <w:tcW w:type="dxa" w:w="2880"/>
            <w:tcMar>
              <w:top w:w="36" w:type="dxa"/>
              <w:bottom w:w="36" w:type="dxa"/>
              <w:left w:w="108" w:type="dxa"/>
              <w:right w:w="108" w:type="dxa"/>
            </w:tcMar>
            <w:vAlign w:val="center"/>
            <w:shd w:val="clear" w:color="auto" w:fill="FFFFFF"/>
          </w:tcPr>
          <w:p>
            <w:r>
              <w:rPr>
                <w:b/>
                <w:color w:val="1E3A5F"/>
                <w:sz w:val="19"/>
              </w:rPr>
              <w:t>Trigger mode</w:t>
            </w:r>
          </w:p>
        </w:tc>
        <w:tc>
          <w:tcPr>
            <w:tcW w:type="dxa" w:w="6480"/>
            <w:tcMar>
              <w:top w:w="36" w:type="dxa"/>
              <w:bottom w:w="36" w:type="dxa"/>
              <w:left w:w="108" w:type="dxa"/>
              <w:right w:w="108" w:type="dxa"/>
            </w:tcMar>
            <w:vAlign w:val="center"/>
            <w:shd w:val="clear" w:color="auto" w:fill="FFFFFF"/>
          </w:tcPr>
          <w:p>
            <w:r>
              <w:rPr>
                <w:color w:val="111827"/>
                <w:sz w:val="19"/>
              </w:rPr>
              <w:t>Photosensor hardware item-presence (default); auto-cycle and manual also supported</w:t>
            </w:r>
          </w:p>
        </w:tc>
      </w:tr>
      <w:tr>
        <w:trPr>
          <w:trHeight w:val="432" w:hRule="atLeast"/>
        </w:trPr>
        <w:tc>
          <w:tcPr>
            <w:tcW w:type="dxa" w:w="2880"/>
            <w:tcMar>
              <w:top w:w="36" w:type="dxa"/>
              <w:bottom w:w="36" w:type="dxa"/>
              <w:left w:w="108" w:type="dxa"/>
              <w:right w:w="108" w:type="dxa"/>
            </w:tcMar>
            <w:vAlign w:val="center"/>
            <w:shd w:val="clear" w:color="auto" w:fill="EBF8F7"/>
          </w:tcPr>
          <w:p>
            <w:r>
              <w:rPr>
                <w:b/>
                <w:color w:val="1E3A5F"/>
                <w:sz w:val="19"/>
              </w:rPr>
              <w:t>Indicator pole</w:t>
            </w:r>
          </w:p>
        </w:tc>
        <w:tc>
          <w:tcPr>
            <w:tcW w:type="dxa" w:w="6480"/>
            <w:tcMar>
              <w:top w:w="36" w:type="dxa"/>
              <w:bottom w:w="36" w:type="dxa"/>
              <w:left w:w="108" w:type="dxa"/>
              <w:right w:w="108" w:type="dxa"/>
            </w:tcMar>
            <w:vAlign w:val="center"/>
            <w:shd w:val="clear" w:color="auto" w:fill="EBF8F7"/>
          </w:tcPr>
          <w:p>
            <w:r>
              <w:rPr>
                <w:color w:val="111827"/>
                <w:sz w:val="19"/>
              </w:rPr>
              <w:t>3–5 segment light pole with per-color steady/flash states; audible alarm — TBD Engineering</w:t>
            </w:r>
          </w:p>
        </w:tc>
      </w:tr>
      <w:tr>
        <w:trPr>
          <w:trHeight w:val="432" w:hRule="atLeast"/>
        </w:trPr>
        <w:tc>
          <w:tcPr>
            <w:tcW w:type="dxa" w:w="2880"/>
            <w:tcMar>
              <w:top w:w="36" w:type="dxa"/>
              <w:bottom w:w="36" w:type="dxa"/>
              <w:left w:w="108" w:type="dxa"/>
              <w:right w:w="108" w:type="dxa"/>
            </w:tcMar>
            <w:vAlign w:val="center"/>
            <w:shd w:val="clear" w:color="auto" w:fill="FFFFFF"/>
          </w:tcPr>
          <w:p>
            <w:r>
              <w:rPr>
                <w:b/>
                <w:color w:val="1E3A5F"/>
                <w:sz w:val="19"/>
              </w:rPr>
              <w:t>Conveyor control</w:t>
            </w:r>
          </w:p>
        </w:tc>
        <w:tc>
          <w:tcPr>
            <w:tcW w:type="dxa" w:w="6480"/>
            <w:tcMar>
              <w:top w:w="36" w:type="dxa"/>
              <w:bottom w:w="36" w:type="dxa"/>
              <w:left w:w="108" w:type="dxa"/>
              <w:right w:w="108" w:type="dxa"/>
            </w:tcMar>
            <w:vAlign w:val="center"/>
            <w:shd w:val="clear" w:color="auto" w:fill="FFFFFF"/>
          </w:tcPr>
          <w:p>
            <w:r>
              <w:rPr>
                <w:color w:val="111827"/>
                <w:sz w:val="19"/>
              </w:rPr>
              <w:t>Pusher divert on fail; line-stop behaviour TBD Engineering</w:t>
            </w:r>
          </w:p>
        </w:tc>
      </w:tr>
      <w:tr>
        <w:trPr>
          <w:trHeight w:val="432" w:hRule="atLeast"/>
        </w:trPr>
        <w:tc>
          <w:tcPr>
            <w:tcW w:type="dxa" w:w="2880"/>
            <w:tcMar>
              <w:top w:w="36" w:type="dxa"/>
              <w:bottom w:w="36" w:type="dxa"/>
              <w:left w:w="108" w:type="dxa"/>
              <w:right w:w="108" w:type="dxa"/>
            </w:tcMar>
            <w:vAlign w:val="center"/>
            <w:shd w:val="clear" w:color="auto" w:fill="EBF8F7"/>
          </w:tcPr>
          <w:p>
            <w:r>
              <w:rPr>
                <w:b/>
                <w:color w:val="1E3A5F"/>
                <w:sz w:val="19"/>
              </w:rPr>
              <w:t>Timeline</w:t>
            </w:r>
          </w:p>
        </w:tc>
        <w:tc>
          <w:tcPr>
            <w:tcW w:type="dxa" w:w="6480"/>
            <w:tcMar>
              <w:top w:w="36" w:type="dxa"/>
              <w:bottom w:w="36" w:type="dxa"/>
              <w:left w:w="108" w:type="dxa"/>
              <w:right w:w="108" w:type="dxa"/>
            </w:tcMar>
            <w:vAlign w:val="center"/>
            <w:shd w:val="clear" w:color="auto" w:fill="EBF8F7"/>
          </w:tcPr>
          <w:p>
            <w:r>
              <w:rPr>
                <w:color w:val="111827"/>
                <w:sz w:val="19"/>
              </w:rPr>
              <w:t>Wk 1–3: Build &amp; test  |  Wk 4: PE trial run  |  Wk 5: Harden  |  Wk 6: Go-live</w:t>
            </w:r>
          </w:p>
        </w:tc>
      </w:tr>
      <w:tr>
        <w:trPr>
          <w:trHeight w:val="432" w:hRule="atLeast"/>
        </w:trPr>
        <w:tc>
          <w:tcPr>
            <w:tcW w:type="dxa" w:w="2880"/>
            <w:tcMar>
              <w:top w:w="36" w:type="dxa"/>
              <w:bottom w:w="36" w:type="dxa"/>
              <w:left w:w="108" w:type="dxa"/>
              <w:right w:w="108" w:type="dxa"/>
            </w:tcMar>
            <w:vAlign w:val="center"/>
            <w:shd w:val="clear" w:color="auto" w:fill="FFFFFF"/>
          </w:tcPr>
          <w:p>
            <w:r>
              <w:rPr>
                <w:b/>
                <w:color w:val="1E3A5F"/>
                <w:sz w:val="19"/>
              </w:rPr>
              <w:t>Physical product</w:t>
            </w:r>
          </w:p>
        </w:tc>
        <w:tc>
          <w:tcPr>
            <w:tcW w:type="dxa" w:w="6480"/>
            <w:tcMar>
              <w:top w:w="36" w:type="dxa"/>
              <w:bottom w:w="36" w:type="dxa"/>
              <w:left w:w="108" w:type="dxa"/>
              <w:right w:w="108" w:type="dxa"/>
            </w:tcMar>
            <w:vAlign w:val="center"/>
            <w:shd w:val="clear" w:color="auto" w:fill="FFFFFF"/>
          </w:tcPr>
          <w:p>
            <w:r>
              <w:rPr>
                <w:color w:val="111827"/>
                <w:sz w:val="19"/>
              </w:rPr>
              <w:t>Small folding cartons (~cell phone to paperback size, 1.25–1.75" thick), conveyed flat, narrow edge leading — virus and diagnostic test kits</w:t>
            </w:r>
          </w:p>
        </w:tc>
      </w:tr>
    </w:tbl>
    <w:p/>
    <w:p>
      <w:pPr>
        <w:spacing w:before="200" w:after="60"/>
      </w:pPr>
      <w:r>
        <w:rPr>
          <w:b/>
          <w:color w:val="1E3A5F"/>
          <w:sz w:val="20"/>
        </w:rPr>
        <w:t>Option C — min row height 0.40 in, text centred  (≈ +90% on single-line rows)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rHeight w:val="576" w:hRule="atLeast"/>
        </w:trPr>
        <w:tc>
          <w:tcPr>
            <w:tcW w:type="dxa" w:w="2880"/>
            <w:tcMar>
              <w:top w:w="36" w:type="dxa"/>
              <w:bottom w:w="36" w:type="dxa"/>
              <w:left w:w="108" w:type="dxa"/>
              <w:right w:w="108" w:type="dxa"/>
            </w:tcMar>
            <w:vAlign w:val="center"/>
            <w:shd w:val="clear" w:color="auto" w:fill="1E3A5F"/>
          </w:tcPr>
          <w:p>
            <w:r>
              <w:rPr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6480"/>
            <w:tcMar>
              <w:top w:w="36" w:type="dxa"/>
              <w:bottom w:w="36" w:type="dxa"/>
              <w:left w:w="108" w:type="dxa"/>
              <w:right w:w="108" w:type="dxa"/>
            </w:tcMar>
            <w:vAlign w:val="center"/>
            <w:shd w:val="clear" w:color="auto" w:fill="1E3A5F"/>
          </w:tcPr>
          <w:p>
            <w:r>
              <w:rPr>
                <w:b/>
                <w:color w:val="FFFFFF"/>
                <w:sz w:val="19"/>
              </w:rPr>
              <w:t>Value</w:t>
            </w:r>
          </w:p>
        </w:tc>
      </w:tr>
      <w:tr>
        <w:trPr>
          <w:trHeight w:val="576" w:hRule="atLeast"/>
        </w:trPr>
        <w:tc>
          <w:tcPr>
            <w:tcW w:type="dxa" w:w="2880"/>
            <w:tcMar>
              <w:top w:w="36" w:type="dxa"/>
              <w:bottom w:w="36" w:type="dxa"/>
              <w:left w:w="108" w:type="dxa"/>
              <w:right w:w="108" w:type="dxa"/>
            </w:tcMar>
            <w:vAlign w:val="center"/>
            <w:shd w:val="clear" w:color="auto" w:fill="EBF8F7"/>
          </w:tcPr>
          <w:p>
            <w:r>
              <w:rPr>
                <w:b/>
                <w:color w:val="1E3A5F"/>
                <w:sz w:val="19"/>
              </w:rPr>
              <w:t>Target application</w:t>
            </w:r>
          </w:p>
        </w:tc>
        <w:tc>
          <w:tcPr>
            <w:tcW w:type="dxa" w:w="6480"/>
            <w:tcMar>
              <w:top w:w="36" w:type="dxa"/>
              <w:bottom w:w="36" w:type="dxa"/>
              <w:left w:w="108" w:type="dxa"/>
              <w:right w:w="108" w:type="dxa"/>
            </w:tcMar>
            <w:vAlign w:val="center"/>
            <w:shd w:val="clear" w:color="auto" w:fill="EBF8F7"/>
          </w:tcPr>
          <w:p>
            <w:r>
              <w:rPr>
                <w:color w:val="111827"/>
                <w:sz w:val="19"/>
              </w:rPr>
              <w:t>UDI labeling inline inspection — single station, single scan lane</w:t>
            </w:r>
          </w:p>
        </w:tc>
      </w:tr>
      <w:tr>
        <w:trPr>
          <w:trHeight w:val="576" w:hRule="atLeast"/>
        </w:trPr>
        <w:tc>
          <w:tcPr>
            <w:tcW w:type="dxa" w:w="2880"/>
            <w:tcMar>
              <w:top w:w="36" w:type="dxa"/>
              <w:bottom w:w="36" w:type="dxa"/>
              <w:left w:w="108" w:type="dxa"/>
              <w:right w:w="108" w:type="dxa"/>
            </w:tcMar>
            <w:vAlign w:val="center"/>
            <w:shd w:val="clear" w:color="auto" w:fill="FFFFFF"/>
          </w:tcPr>
          <w:p>
            <w:r>
              <w:rPr>
                <w:b/>
                <w:color w:val="1E3A5F"/>
                <w:sz w:val="19"/>
              </w:rPr>
              <w:t>Scanner</w:t>
            </w:r>
          </w:p>
        </w:tc>
        <w:tc>
          <w:tcPr>
            <w:tcW w:type="dxa" w:w="6480"/>
            <w:tcMar>
              <w:top w:w="36" w:type="dxa"/>
              <w:bottom w:w="36" w:type="dxa"/>
              <w:left w:w="108" w:type="dxa"/>
              <w:right w:w="108" w:type="dxa"/>
            </w:tcMar>
            <w:vAlign w:val="center"/>
            <w:shd w:val="clear" w:color="auto" w:fill="FFFFFF"/>
          </w:tcPr>
          <w:p>
            <w:r>
              <w:rPr>
                <w:color w:val="111827"/>
                <w:sz w:val="19"/>
              </w:rPr>
              <w:t>Cognex DM-475V-LBL on desktop stand adapted for conveyor use</w:t>
            </w:r>
          </w:p>
        </w:tc>
      </w:tr>
      <w:tr>
        <w:trPr>
          <w:trHeight w:val="576" w:hRule="atLeast"/>
        </w:trPr>
        <w:tc>
          <w:tcPr>
            <w:tcW w:type="dxa" w:w="2880"/>
            <w:tcMar>
              <w:top w:w="36" w:type="dxa"/>
              <w:bottom w:w="36" w:type="dxa"/>
              <w:left w:w="108" w:type="dxa"/>
              <w:right w:w="108" w:type="dxa"/>
            </w:tcMar>
            <w:vAlign w:val="center"/>
            <w:shd w:val="clear" w:color="auto" w:fill="EBF8F7"/>
          </w:tcPr>
          <w:p>
            <w:r>
              <w:rPr>
                <w:b/>
                <w:color w:val="1E3A5F"/>
                <w:sz w:val="19"/>
              </w:rPr>
              <w:t>Barcode type</w:t>
            </w:r>
          </w:p>
        </w:tc>
        <w:tc>
          <w:tcPr>
            <w:tcW w:type="dxa" w:w="6480"/>
            <w:tcMar>
              <w:top w:w="36" w:type="dxa"/>
              <w:bottom w:w="36" w:type="dxa"/>
              <w:left w:w="108" w:type="dxa"/>
              <w:right w:w="108" w:type="dxa"/>
            </w:tcMar>
            <w:vAlign w:val="center"/>
            <w:shd w:val="clear" w:color="auto" w:fill="EBF8F7"/>
          </w:tcPr>
          <w:p>
            <w:r>
              <w:rPr>
                <w:color w:val="111827"/>
                <w:sz w:val="19"/>
              </w:rPr>
              <w:t>GS1 DataMatrix only</w:t>
            </w:r>
          </w:p>
        </w:tc>
      </w:tr>
      <w:tr>
        <w:trPr>
          <w:trHeight w:val="576" w:hRule="atLeast"/>
        </w:trPr>
        <w:tc>
          <w:tcPr>
            <w:tcW w:type="dxa" w:w="2880"/>
            <w:tcMar>
              <w:top w:w="36" w:type="dxa"/>
              <w:bottom w:w="36" w:type="dxa"/>
              <w:left w:w="108" w:type="dxa"/>
              <w:right w:w="108" w:type="dxa"/>
            </w:tcMar>
            <w:vAlign w:val="center"/>
            <w:shd w:val="clear" w:color="auto" w:fill="FFFFFF"/>
          </w:tcPr>
          <w:p>
            <w:r>
              <w:rPr>
                <w:b/>
                <w:color w:val="1E3A5F"/>
                <w:sz w:val="19"/>
              </w:rPr>
              <w:t>Trigger mode</w:t>
            </w:r>
          </w:p>
        </w:tc>
        <w:tc>
          <w:tcPr>
            <w:tcW w:type="dxa" w:w="6480"/>
            <w:tcMar>
              <w:top w:w="36" w:type="dxa"/>
              <w:bottom w:w="36" w:type="dxa"/>
              <w:left w:w="108" w:type="dxa"/>
              <w:right w:w="108" w:type="dxa"/>
            </w:tcMar>
            <w:vAlign w:val="center"/>
            <w:shd w:val="clear" w:color="auto" w:fill="FFFFFF"/>
          </w:tcPr>
          <w:p>
            <w:r>
              <w:rPr>
                <w:color w:val="111827"/>
                <w:sz w:val="19"/>
              </w:rPr>
              <w:t>Photosensor hardware item-presence (default); auto-cycle and manual also supported</w:t>
            </w:r>
          </w:p>
        </w:tc>
      </w:tr>
      <w:tr>
        <w:trPr>
          <w:trHeight w:val="576" w:hRule="atLeast"/>
        </w:trPr>
        <w:tc>
          <w:tcPr>
            <w:tcW w:type="dxa" w:w="2880"/>
            <w:tcMar>
              <w:top w:w="36" w:type="dxa"/>
              <w:bottom w:w="36" w:type="dxa"/>
              <w:left w:w="108" w:type="dxa"/>
              <w:right w:w="108" w:type="dxa"/>
            </w:tcMar>
            <w:vAlign w:val="center"/>
            <w:shd w:val="clear" w:color="auto" w:fill="EBF8F7"/>
          </w:tcPr>
          <w:p>
            <w:r>
              <w:rPr>
                <w:b/>
                <w:color w:val="1E3A5F"/>
                <w:sz w:val="19"/>
              </w:rPr>
              <w:t>Indicator pole</w:t>
            </w:r>
          </w:p>
        </w:tc>
        <w:tc>
          <w:tcPr>
            <w:tcW w:type="dxa" w:w="6480"/>
            <w:tcMar>
              <w:top w:w="36" w:type="dxa"/>
              <w:bottom w:w="36" w:type="dxa"/>
              <w:left w:w="108" w:type="dxa"/>
              <w:right w:w="108" w:type="dxa"/>
            </w:tcMar>
            <w:vAlign w:val="center"/>
            <w:shd w:val="clear" w:color="auto" w:fill="EBF8F7"/>
          </w:tcPr>
          <w:p>
            <w:r>
              <w:rPr>
                <w:color w:val="111827"/>
                <w:sz w:val="19"/>
              </w:rPr>
              <w:t>3–5 segment light pole with per-color steady/flash states; audible alarm — TBD Engineering</w:t>
            </w:r>
          </w:p>
        </w:tc>
      </w:tr>
      <w:tr>
        <w:trPr>
          <w:trHeight w:val="576" w:hRule="atLeast"/>
        </w:trPr>
        <w:tc>
          <w:tcPr>
            <w:tcW w:type="dxa" w:w="2880"/>
            <w:tcMar>
              <w:top w:w="36" w:type="dxa"/>
              <w:bottom w:w="36" w:type="dxa"/>
              <w:left w:w="108" w:type="dxa"/>
              <w:right w:w="108" w:type="dxa"/>
            </w:tcMar>
            <w:vAlign w:val="center"/>
            <w:shd w:val="clear" w:color="auto" w:fill="FFFFFF"/>
          </w:tcPr>
          <w:p>
            <w:r>
              <w:rPr>
                <w:b/>
                <w:color w:val="1E3A5F"/>
                <w:sz w:val="19"/>
              </w:rPr>
              <w:t>Conveyor control</w:t>
            </w:r>
          </w:p>
        </w:tc>
        <w:tc>
          <w:tcPr>
            <w:tcW w:type="dxa" w:w="6480"/>
            <w:tcMar>
              <w:top w:w="36" w:type="dxa"/>
              <w:bottom w:w="36" w:type="dxa"/>
              <w:left w:w="108" w:type="dxa"/>
              <w:right w:w="108" w:type="dxa"/>
            </w:tcMar>
            <w:vAlign w:val="center"/>
            <w:shd w:val="clear" w:color="auto" w:fill="FFFFFF"/>
          </w:tcPr>
          <w:p>
            <w:r>
              <w:rPr>
                <w:color w:val="111827"/>
                <w:sz w:val="19"/>
              </w:rPr>
              <w:t>Pusher divert on fail; line-stop behaviour TBD Engineering</w:t>
            </w:r>
          </w:p>
        </w:tc>
      </w:tr>
      <w:tr>
        <w:trPr>
          <w:trHeight w:val="576" w:hRule="atLeast"/>
        </w:trPr>
        <w:tc>
          <w:tcPr>
            <w:tcW w:type="dxa" w:w="2880"/>
            <w:tcMar>
              <w:top w:w="36" w:type="dxa"/>
              <w:bottom w:w="36" w:type="dxa"/>
              <w:left w:w="108" w:type="dxa"/>
              <w:right w:w="108" w:type="dxa"/>
            </w:tcMar>
            <w:vAlign w:val="center"/>
            <w:shd w:val="clear" w:color="auto" w:fill="EBF8F7"/>
          </w:tcPr>
          <w:p>
            <w:r>
              <w:rPr>
                <w:b/>
                <w:color w:val="1E3A5F"/>
                <w:sz w:val="19"/>
              </w:rPr>
              <w:t>Timeline</w:t>
            </w:r>
          </w:p>
        </w:tc>
        <w:tc>
          <w:tcPr>
            <w:tcW w:type="dxa" w:w="6480"/>
            <w:tcMar>
              <w:top w:w="36" w:type="dxa"/>
              <w:bottom w:w="36" w:type="dxa"/>
              <w:left w:w="108" w:type="dxa"/>
              <w:right w:w="108" w:type="dxa"/>
            </w:tcMar>
            <w:vAlign w:val="center"/>
            <w:shd w:val="clear" w:color="auto" w:fill="EBF8F7"/>
          </w:tcPr>
          <w:p>
            <w:r>
              <w:rPr>
                <w:color w:val="111827"/>
                <w:sz w:val="19"/>
              </w:rPr>
              <w:t>Wk 1–3: Build &amp; test  |  Wk 4: PE trial run  |  Wk 5: Harden  |  Wk 6: Go-live</w:t>
            </w:r>
          </w:p>
        </w:tc>
      </w:tr>
      <w:tr>
        <w:trPr>
          <w:trHeight w:val="576" w:hRule="atLeast"/>
        </w:trPr>
        <w:tc>
          <w:tcPr>
            <w:tcW w:type="dxa" w:w="2880"/>
            <w:tcMar>
              <w:top w:w="36" w:type="dxa"/>
              <w:bottom w:w="36" w:type="dxa"/>
              <w:left w:w="108" w:type="dxa"/>
              <w:right w:w="108" w:type="dxa"/>
            </w:tcMar>
            <w:vAlign w:val="center"/>
            <w:shd w:val="clear" w:color="auto" w:fill="FFFFFF"/>
          </w:tcPr>
          <w:p>
            <w:r>
              <w:rPr>
                <w:b/>
                <w:color w:val="1E3A5F"/>
                <w:sz w:val="19"/>
              </w:rPr>
              <w:t>Physical product</w:t>
            </w:r>
          </w:p>
        </w:tc>
        <w:tc>
          <w:tcPr>
            <w:tcW w:type="dxa" w:w="6480"/>
            <w:tcMar>
              <w:top w:w="36" w:type="dxa"/>
              <w:bottom w:w="36" w:type="dxa"/>
              <w:left w:w="108" w:type="dxa"/>
              <w:right w:w="108" w:type="dxa"/>
            </w:tcMar>
            <w:vAlign w:val="center"/>
            <w:shd w:val="clear" w:color="auto" w:fill="FFFFFF"/>
          </w:tcPr>
          <w:p>
            <w:r>
              <w:rPr>
                <w:color w:val="111827"/>
                <w:sz w:val="19"/>
              </w:rPr>
              <w:t>Small folding cartons (~cell phone to paperback size, 1.25–1.75" thick), conveyed flat, narrow edge leading — virus and diagnostic test kits</w:t>
            </w:r>
          </w:p>
        </w:tc>
      </w:tr>
    </w:tbl>
    <w:p/>
    <w:sectPr w:rsidR="00FC693F" w:rsidRPr="0006063C" w:rsidSect="00034616">
      <w:pgSz w:w="12240" w:h="15840"/>
      <w:pgMar w:top="1224" w:right="1440" w:bottom="122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