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in its verification laboratory to assess barcode print quality for pharmaceutical, medical device, and other customers.  It accepts scan results from a Cognex DataMan fixed-mount reader, decodes GS1 linear and 2D payloads (and direct-part marks), grades them against ISO/IEC 15415 and related standards, logs each result to Excel and an event log, and presents the outcome to a lab operator.  The application runs on a bench-top verifier station; it is not a production-line application.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40"/>
      </w:pPr>
      <w:r>
        <w:rPr>
          <w:b/>
          <w:color w:val="1E3A5F"/>
          <w:sz w:val="20"/>
        </w:rPr>
        <w:t xml:space="preserve">DeviceInterface — </w:t>
      </w:r>
      <w:r>
        <w:rPr>
          <w:color w:val="1E3A5F"/>
          <w:sz w:val="20"/>
        </w:rPr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the same writer is reused without modification for inline operation.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(job name, operator ID, pass/fail threshold, etc.) with optional PIN-based lockout for production-floor use.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Channel assignments and exact line-control behaviour are TBD Engineering.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Grade threshold: </w:t>
      </w:r>
      <w:r>
        <w:rPr>
          <w:color w:val="111827"/>
          <w:sz w:val="20"/>
        </w:rPr>
        <w:t>Customer's pass/fail grade boundary for this specific product and regulatory context.  Default 1.5 assumed; confirm.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none), storage path, DMST upload workflow for failures.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VCCS / Product Identification and Processing Systems, Inc.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