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spacing w:after="80" w:before="0"/>
        <w:rPr>
          <w:rFonts w:ascii="맑은 고딕" w:eastAsia="맑은 고딕" w:hAnsi="맑은 고딕" w:hint="default"/>
          <w:sz w:val="30"/>
          <w:szCs w:val="30"/>
        </w:rPr>
      </w:pPr>
      <w:r>
        <w:rPr>
          <w:rFonts w:ascii="맑은 고딕" w:eastAsia="맑은 고딕" w:hAnsi="맑은 고딕"/>
          <w:b/>
          <w:color w:val="EA580C"/>
          <w:sz w:val="30"/>
          <w:szCs w:val="30"/>
        </w:rPr>
        <w:t>VALUETRACK PLATFORM LEGAL &amp; POLICY DOCUMENTATION</w:t>
      </w:r>
    </w:p>
    <w:p>
      <w:pPr>
        <w:spacing w:after="120"/>
        <w:rPr>
          <w:rFonts w:ascii="맑은 고딕" w:eastAsia="맑은 고딕" w:hAnsi="맑은 고딕" w:hint="default"/>
          <w:sz w:val="20"/>
          <w:szCs w:val="20"/>
        </w:rPr>
      </w:pPr>
      <w:r>
        <w:rPr>
          <w:rFonts w:ascii="맑은 고딕" w:eastAsia="맑은 고딕" w:hAnsi="맑은 고딕"/>
          <w:b/>
          <w:color w:val="0F172A"/>
          <w:sz w:val="20"/>
          <w:szCs w:val="20"/>
        </w:rPr>
        <w:t>ValueTrack 서비스 이용약관 및 운영 정책서</w:t>
      </w:r>
    </w:p>
    <w:p>
      <w:pPr>
        <w:spacing w:after="320"/>
        <w:rPr>
          <w:rFonts w:ascii="맑은 고딕" w:eastAsia="맑은 고딕" w:hAnsi="맑은 고딕" w:hint="default"/>
          <w:sz w:val="20"/>
          <w:szCs w:val="20"/>
        </w:rPr>
      </w:pPr>
      <w:r>
        <w:rPr>
          <w:rFonts w:ascii="맑은 고딕" w:eastAsia="맑은 고딕" w:hAnsi="맑은 고딕"/>
          <w:color w:val="64748B"/>
          <w:sz w:val="20"/>
          <w:szCs w:val="20"/>
        </w:rPr>
        <w:t>공식 웹사이트: https://www.valuetrack.pro  |  운영사: 블링커스(주)  |  최종 개정일: 2026년 10월 26일</w:t>
      </w:r>
    </w:p>
    <w:tbl>
      <w:tblPr>
        <w:tblW w:w="0" w:type="auto"/>
        <w:tblLook w:val="04A0" w:firstRow="1" w:lastRow="0" w:firstColumn="1" w:lastColumn="0" w:noHBand="0" w:noVBand="1"/>
        <w:jc w:val="center"/>
      </w:tblPr>
      <w:tblGrid>
        <w:gridCol w:w="9360"/>
      </w:tblGrid>
      <w:tr>
        <w:tc>
          <w:tcPr>
            <w:tcW w:w="9360" w:type="dxa"/>
            <w:shd w:val="clear" w:color="auto" w:fill="F1F5F9"/>
            <w:tcMar>
              <w:top w:w="160" w:type="dxa"/>
              <w:left w:w="200" w:type="dxa"/>
              <w:bottom w:w="160" w:type="dxa"/>
              <w:right w:w="200" w:type="dxa"/>
            </w:tcMar>
          </w:tcPr>
          <w:p>
            <w:pPr>
              <w:spacing w:after="80"/>
              <w:rPr>
                <w:rFonts w:ascii="맑은 고딕" w:eastAsia="맑은 고딕" w:hAnsi="맑은 고딕" w:hint="default"/>
                <w:sz w:val="20"/>
                <w:szCs w:val="20"/>
              </w:rPr>
            </w:pPr>
            <w:r>
              <w:rPr>
                <w:rFonts w:ascii="맑은 고딕" w:eastAsia="맑은 고딕" w:hAnsi="맑은 고딕"/>
                <w:b/>
                <w:color w:val="0F172A"/>
                <w:sz w:val="20"/>
                <w:szCs w:val="20"/>
              </w:rPr>
              <w:t>안내 및 컴플라이언스 유의사항</w:t>
            </w:r>
          </w:p>
          <w:p>
            <w:pPr>
              <w:spacing w:after="0"/>
              <w:rPr>
                <w:rFonts w:ascii="맑은 고딕" w:eastAsia="맑은 고딕" w:hAnsi="맑은 고딕" w:hint="default"/>
                <w:sz w:val="20"/>
                <w:szCs w:val="20"/>
              </w:rPr>
            </w:pPr>
            <w:r>
              <w:rPr>
                <w:rFonts w:ascii="맑은 고딕" w:eastAsia="맑은 고딕" w:hAnsi="맑은 고딕"/>
                <w:color w:val="334155"/>
                <w:sz w:val="20"/>
                <w:szCs w:val="20"/>
              </w:rPr>
              <w:t>본 문서는 블링커스(주)의 AI 기반 스포츠 인텔리전스 플랫폼 'ValueTrack(valuetrack.pro)'의 공식 서비스 이용약관, 개인정보 처리방침, 환불 및 취소 규정, 그리고 웹사이트 푸터(Footer) 법적 필수 표기 가이드를 통합 수록한 공식 운영 문서입니다. 전자상거래 등에서의 소비자보호에 관한 법률, 개인정보 보호법 등 국내 관계 법령을 준수하도록 구성되었습니다.</w:t>
            </w:r>
          </w:p>
        </w:tc>
      </w:tr>
    </w:tbl>
    <w:p>
      <w:pPr>
        <w:spacing w:after="200"/>
        <w:rPr>
          <w:rFonts w:ascii="맑은 고딕" w:eastAsia="맑은 고딕" w:hAnsi="맑은 고딕" w:hint="default"/>
          <w:sz w:val="20"/>
          <w:szCs w:val="20"/>
        </w:rPr>
      </w:pPr>
    </w:p>
    <w:p>
      <w:pPr>
        <w:spacing w:after="120" w:before="320"/>
        <w:rPr>
          <w:rFonts w:ascii="맑은 고딕" w:eastAsia="맑은 고딕" w:hAnsi="맑은 고딕" w:hint="default"/>
          <w:sz w:val="20"/>
          <w:szCs w:val="20"/>
        </w:rPr>
      </w:pPr>
      <w:r>
        <w:rPr>
          <w:rFonts w:ascii="맑은 고딕" w:eastAsia="맑은 고딕" w:hAnsi="맑은 고딕"/>
          <w:b/>
          <w:color w:val="EA580C"/>
          <w:sz w:val="20"/>
          <w:szCs w:val="20"/>
        </w:rPr>
        <w:t xml:space="preserve">[SECTION 1] </w:t>
      </w:r>
      <w:r>
        <w:rPr>
          <w:rFonts w:ascii="맑은 고딕" w:eastAsia="맑은 고딕" w:hAnsi="맑은 고딕"/>
          <w:b/>
          <w:color w:val="0F172A"/>
          <w:sz w:val="20"/>
          <w:szCs w:val="20"/>
        </w:rPr>
        <w:t>제1편. 서비스 이용약관 (Terms of Service)</w:t>
      </w:r>
    </w:p>
    <w:p>
      <w:pPr>
        <w:spacing w:after="40" w:before="120"/>
        <w:rPr>
          <w:rFonts w:ascii="맑은 고딕" w:eastAsia="맑은 고딕" w:hAnsi="맑은 고딕" w:hint="default"/>
          <w:sz w:val="20"/>
          <w:szCs w:val="20"/>
        </w:rPr>
      </w:pPr>
      <w:r>
        <w:rPr>
          <w:rFonts w:ascii="맑은 고딕" w:eastAsia="맑은 고딕" w:hAnsi="맑은 고딕"/>
          <w:b/>
          <w:color w:val="1E293B"/>
          <w:sz w:val="20"/>
          <w:szCs w:val="20"/>
        </w:rPr>
        <w:t>제1조 (목적)</w:t>
      </w:r>
    </w:p>
    <w:p>
      <w:pPr>
        <w:spacing w:after="120" w:before="0" w:line="288" w:lineRule="auto"/>
        <w:rPr>
          <w:rFonts w:ascii="맑은 고딕" w:eastAsia="맑은 고딕" w:hAnsi="맑은 고딕" w:hint="default"/>
          <w:sz w:val="20"/>
          <w:szCs w:val="20"/>
        </w:rPr>
      </w:pPr>
      <w:r>
        <w:rPr>
          <w:rFonts w:ascii="맑은 고딕" w:eastAsia="맑은 고딕" w:hAnsi="맑은 고딕"/>
          <w:color w:val="334155"/>
          <w:sz w:val="20"/>
          <w:szCs w:val="20"/>
        </w:rPr>
        <w:t>본 약관은 블링커스(주)(이하 "회사")가 제공하는 스포츠 인텔리전스 및 데이터 분석 플랫폼 'ValueTrack(valuetrack.pro)'(이하 "서비스")의 이용과 관련하여 회사와 이용자(회원 및 비회원) 간의 권리, 의무 및 책임사항을 규정함을 목적으로 합니다.</w:t>
      </w:r>
    </w:p>
    <w:p>
      <w:pPr>
        <w:spacing w:after="40" w:before="120"/>
        <w:rPr>
          <w:rFonts w:ascii="맑은 고딕" w:eastAsia="맑은 고딕" w:hAnsi="맑은 고딕" w:hint="default"/>
          <w:sz w:val="20"/>
          <w:szCs w:val="20"/>
        </w:rPr>
      </w:pPr>
      <w:r>
        <w:rPr>
          <w:rFonts w:ascii="맑은 고딕" w:eastAsia="맑은 고딕" w:hAnsi="맑은 고딕"/>
          <w:b/>
          <w:color w:val="1E293B"/>
          <w:sz w:val="20"/>
          <w:szCs w:val="20"/>
        </w:rPr>
        <w:t>제2조 (용어의 정의)</w:t>
      </w:r>
    </w:p>
    <w:p>
      <w:pPr>
        <w:spacing w:after="120" w:before="0" w:line="288" w:lineRule="auto"/>
        <w:rPr>
          <w:rFonts w:ascii="맑은 고딕" w:eastAsia="맑은 고딕" w:hAnsi="맑은 고딕" w:hint="default"/>
          <w:sz w:val="20"/>
          <w:szCs w:val="20"/>
        </w:rPr>
      </w:pPr>
      <w:r>
        <w:rPr>
          <w:rFonts w:ascii="맑은 고딕" w:eastAsia="맑은 고딕" w:hAnsi="맑은 고딕"/>
          <w:color w:val="334155"/>
          <w:sz w:val="20"/>
          <w:szCs w:val="20"/>
        </w:rPr>
        <w:t>1. "서비스"란 회사가 제공하는 선수 이적료 및 가치 예측(</w:t>
      </w:r>
      <w:r>
        <w:rPr>
          <w:lang w:eastAsia="ko-KR"/>
          <w:rFonts w:ascii="맑은 고딕" w:eastAsia="맑은 고딕" w:hAnsi="맑은 고딕"/>
          <w:color w:val="334155"/>
          <w:sz w:val="20"/>
          <w:szCs w:val="20"/>
          <w:rtl w:val="off"/>
        </w:rPr>
        <w:t>마켓예측</w:t>
      </w:r>
      <w:r>
        <w:rPr>
          <w:rFonts w:ascii="맑은 고딕" w:eastAsia="맑은 고딕" w:hAnsi="맑은 고딕"/>
          <w:color w:val="334155"/>
          <w:sz w:val="20"/>
          <w:szCs w:val="20"/>
        </w:rPr>
        <w:t>), 경기 결과 예측(WWW: Who Will Win</w:t>
      </w:r>
      <w:r>
        <w:rPr>
          <w:lang w:eastAsia="ko-KR"/>
          <w:rFonts w:ascii="맑은 고딕" w:eastAsia="맑은 고딕" w:hAnsi="맑은 고딕"/>
          <w:color w:val="334155"/>
          <w:sz w:val="20"/>
          <w:szCs w:val="20"/>
          <w:rtl w:val="off"/>
        </w:rPr>
        <w:t>, 승부시뮬레이션</w:t>
      </w:r>
      <w:r>
        <w:rPr>
          <w:rFonts w:ascii="맑은 고딕" w:eastAsia="맑은 고딕" w:hAnsi="맑은 고딕"/>
          <w:color w:val="334155"/>
          <w:sz w:val="20"/>
          <w:szCs w:val="20"/>
        </w:rPr>
        <w:t xml:space="preserve">), </w:t>
      </w:r>
      <w:r>
        <w:rPr>
          <w:lang w:eastAsia="ko-KR"/>
          <w:rFonts w:ascii="맑은 고딕" w:eastAsia="맑은 고딕" w:hAnsi="맑은 고딕"/>
          <w:color w:val="334155"/>
          <w:sz w:val="20"/>
          <w:szCs w:val="20"/>
          <w:rtl w:val="off"/>
        </w:rPr>
        <w:t>리포트</w:t>
      </w:r>
      <w:r>
        <w:rPr>
          <w:rFonts w:ascii="맑은 고딕" w:eastAsia="맑은 고딕" w:hAnsi="맑은 고딕"/>
          <w:color w:val="334155"/>
          <w:sz w:val="20"/>
          <w:szCs w:val="20"/>
        </w:rPr>
        <w:t>, AI 스탯 시뮬레이터(</w:t>
      </w:r>
      <w:r>
        <w:rPr>
          <w:lang w:eastAsia="ko-KR"/>
          <w:rFonts w:ascii="맑은 고딕" w:eastAsia="맑은 고딕" w:hAnsi="맑은 고딕"/>
          <w:color w:val="334155"/>
          <w:sz w:val="20"/>
          <w:szCs w:val="20"/>
          <w:rtl w:val="off"/>
        </w:rPr>
        <w:t>가상 선수빌드</w:t>
      </w:r>
      <w:r>
        <w:rPr>
          <w:rFonts w:ascii="맑은 고딕" w:eastAsia="맑은 고딕" w:hAnsi="맑은 고딕"/>
          <w:color w:val="334155"/>
          <w:sz w:val="20"/>
          <w:szCs w:val="20"/>
        </w:rPr>
        <w:t>) 및 데이터 분석 리포트 등의 제반 인텔리전스 서비스를 의미합니다.</w:t>
      </w:r>
      <w:r>
        <w:rPr>
          <w:rFonts w:ascii="맑은 고딕" w:eastAsia="맑은 고딕" w:hAnsi="맑은 고딕"/>
          <w:color w:val="334155"/>
          <w:sz w:val="20"/>
          <w:szCs w:val="20"/>
        </w:rPr>
        <w:br/>
      </w:r>
      <w:r>
        <w:rPr>
          <w:rFonts w:ascii="맑은 고딕" w:eastAsia="맑은 고딕" w:hAnsi="맑은 고딕"/>
          <w:color w:val="334155"/>
          <w:sz w:val="20"/>
          <w:szCs w:val="20"/>
        </w:rPr>
        <w:t>2. "이용자"란 본 약관에 동의하고 회사가 제공하는 서비스를 이용하는 자(개인, 에이전트, 구단 분석팀, 미디어 관계자 등)를 의미합니다.</w:t>
      </w:r>
      <w:r>
        <w:rPr>
          <w:rFonts w:ascii="맑은 고딕" w:eastAsia="맑은 고딕" w:hAnsi="맑은 고딕"/>
          <w:color w:val="334155"/>
          <w:sz w:val="20"/>
          <w:szCs w:val="20"/>
        </w:rPr>
        <w:br/>
      </w:r>
      <w:r>
        <w:rPr>
          <w:rFonts w:ascii="맑은 고딕" w:eastAsia="맑은 고딕" w:hAnsi="맑은 고딕"/>
          <w:color w:val="334155"/>
          <w:sz w:val="20"/>
          <w:szCs w:val="20"/>
        </w:rPr>
        <w:t>3. "유료 서비스"란 이용자가 별도의 대금을 지급하고 이용하는 정기 구독(B2B SaaS), 단건 프리미엄 분석 리포트, 데이터 라이선스 공급 계약 등을 의미합니다.</w:t>
      </w:r>
    </w:p>
    <w:p>
      <w:pPr>
        <w:spacing w:after="40" w:before="120"/>
        <w:rPr>
          <w:rFonts w:ascii="맑은 고딕" w:eastAsia="맑은 고딕" w:hAnsi="맑은 고딕" w:hint="default"/>
          <w:sz w:val="20"/>
          <w:szCs w:val="20"/>
        </w:rPr>
      </w:pPr>
      <w:r>
        <w:rPr>
          <w:rFonts w:ascii="맑은 고딕" w:eastAsia="맑은 고딕" w:hAnsi="맑은 고딕"/>
          <w:b/>
          <w:color w:val="1E293B"/>
          <w:sz w:val="20"/>
          <w:szCs w:val="20"/>
        </w:rPr>
        <w:t>제3조 (서비스의 제공 및 변경)</w:t>
      </w:r>
    </w:p>
    <w:p>
      <w:pPr>
        <w:spacing w:after="120" w:before="0" w:line="288" w:lineRule="auto"/>
        <w:rPr>
          <w:rFonts w:ascii="맑은 고딕" w:eastAsia="맑은 고딕" w:hAnsi="맑은 고딕" w:hint="default"/>
          <w:sz w:val="20"/>
          <w:szCs w:val="20"/>
        </w:rPr>
      </w:pPr>
      <w:r>
        <w:rPr>
          <w:rFonts w:ascii="맑은 고딕" w:eastAsia="맑은 고딕" w:hAnsi="맑은 고딕"/>
          <w:color w:val="334155"/>
          <w:sz w:val="20"/>
          <w:szCs w:val="20"/>
        </w:rPr>
        <w:t>1. 회사는 이용자에게 AI 알고리즘과 통계 분석에 기반한 스포츠 및 엔터테인먼트 경쟁가치 예측 데이터를 제공합니다.</w:t>
      </w:r>
      <w:r>
        <w:rPr>
          <w:rFonts w:ascii="맑은 고딕" w:eastAsia="맑은 고딕" w:hAnsi="맑은 고딕"/>
          <w:color w:val="334155"/>
          <w:sz w:val="20"/>
          <w:szCs w:val="20"/>
        </w:rPr>
        <w:br/>
      </w:r>
      <w:r>
        <w:rPr>
          <w:rFonts w:ascii="맑은 고딕" w:eastAsia="맑은 고딕" w:hAnsi="맑은 고딕"/>
          <w:color w:val="334155"/>
          <w:sz w:val="20"/>
          <w:szCs w:val="20"/>
        </w:rPr>
        <w:t>2. 회사는 기술적 사양의 변경, 신규 모델 도입, 시스템 점검 또는 제휴 데이터 공급사의 정책 변경 등에 따라 서비스 내용의 일부 또는 전부를 변경할 수 있으며, 이 경우 사전에 서비스 공지사항을 통하여 고지합니다.</w:t>
      </w:r>
    </w:p>
    <w:p>
      <w:pPr>
        <w:spacing w:after="40" w:before="120"/>
        <w:rPr>
          <w:rFonts w:ascii="맑은 고딕" w:eastAsia="맑은 고딕" w:hAnsi="맑은 고딕" w:hint="default"/>
          <w:sz w:val="20"/>
          <w:szCs w:val="20"/>
        </w:rPr>
      </w:pPr>
      <w:r>
        <w:rPr>
          <w:rFonts w:ascii="맑은 고딕" w:eastAsia="맑은 고딕" w:hAnsi="맑은 고딕"/>
          <w:b/>
          <w:color w:val="1E293B"/>
          <w:sz w:val="20"/>
          <w:szCs w:val="20"/>
        </w:rPr>
        <w:t>제4조 (지식재산권의 귀속 및 이용제한)</w:t>
      </w:r>
    </w:p>
    <w:p>
      <w:pPr>
        <w:spacing w:after="120" w:before="0" w:line="288" w:lineRule="auto"/>
        <w:rPr>
          <w:rFonts w:ascii="맑은 고딕" w:eastAsia="맑은 고딕" w:hAnsi="맑은 고딕" w:hint="default"/>
          <w:sz w:val="20"/>
          <w:szCs w:val="20"/>
        </w:rPr>
      </w:pPr>
      <w:r>
        <w:rPr>
          <w:rFonts w:ascii="맑은 고딕" w:eastAsia="맑은 고딕" w:hAnsi="맑은 고딕"/>
          <w:color w:val="334155"/>
          <w:sz w:val="20"/>
          <w:szCs w:val="20"/>
        </w:rPr>
        <w:t>1. 회사가 자체 개발한 예측 모델, 시뮬레이션 알고리즘, 분석 리포트, 웹사이트 UI/UX 디자인, 텍스트 및 시각화 데이터 등 일체의 저작물에 대한 지식재산권은 블링커스(주)에 독점적으로 귀속됩니다.</w:t>
      </w:r>
      <w:r>
        <w:rPr>
          <w:rFonts w:ascii="맑은 고딕" w:eastAsia="맑은 고딕" w:hAnsi="맑은 고딕"/>
          <w:color w:val="334155"/>
          <w:sz w:val="20"/>
          <w:szCs w:val="20"/>
        </w:rPr>
        <w:br/>
      </w:r>
      <w:r>
        <w:rPr>
          <w:rFonts w:ascii="맑은 고딕" w:eastAsia="맑은 고딕" w:hAnsi="맑은 고딕"/>
          <w:color w:val="334155"/>
          <w:sz w:val="20"/>
          <w:szCs w:val="20"/>
        </w:rPr>
        <w:t>2. 이용자는 회사의 사전 서면 승인 없이 서비스 내 데이터를 무단 크롤링, 복제, 배포, 방송, 2차 가공, 재판매하거나 상업적인 용도로 제3자에게 제공할 수 없습니다.</w:t>
      </w:r>
    </w:p>
    <w:p>
      <w:pPr>
        <w:spacing w:after="40" w:before="120"/>
        <w:rPr>
          <w:rFonts w:ascii="맑은 고딕" w:eastAsia="맑은 고딕" w:hAnsi="맑은 고딕" w:hint="default"/>
          <w:sz w:val="20"/>
          <w:szCs w:val="20"/>
        </w:rPr>
      </w:pPr>
      <w:r>
        <w:rPr>
          <w:rFonts w:ascii="맑은 고딕" w:eastAsia="맑은 고딕" w:hAnsi="맑은 고딕"/>
          <w:b/>
          <w:color w:val="1E293B"/>
          <w:sz w:val="20"/>
          <w:szCs w:val="20"/>
        </w:rPr>
        <w:t>제5조 (면책 조항 및 책임의 한계 — 중요)</w:t>
      </w:r>
    </w:p>
    <w:p>
      <w:pPr>
        <w:spacing w:after="120" w:before="0" w:line="288" w:lineRule="auto"/>
        <w:rPr>
          <w:rFonts w:ascii="맑은 고딕" w:eastAsia="맑은 고딕" w:hAnsi="맑은 고딕" w:hint="default"/>
          <w:sz w:val="20"/>
          <w:szCs w:val="20"/>
        </w:rPr>
      </w:pPr>
      <w:r>
        <w:rPr>
          <w:rFonts w:ascii="맑은 고딕" w:eastAsia="맑은 고딕" w:hAnsi="맑은 고딕"/>
          <w:color w:val="334155"/>
          <w:sz w:val="20"/>
          <w:szCs w:val="20"/>
        </w:rPr>
        <w:t>1. 회사가 제공하는 모든 예측 수치(이적료 범위, 이적 확률, 경기 승패 예측 확률, 선수 잠재력 점수 등)는 과거 통계 데이터와 인공지능 딥러닝 알고리즘에 기초한 '확률적 추정치'입니다. 회사는 실제 선수의 계약 체결 여부, 실제 경기 결과의 일치 또는 선수의 미래 성과에 대해 어떠한 법적·재정적 결과도 보증하지 않습니다.</w:t>
      </w:r>
      <w:r>
        <w:rPr>
          <w:rFonts w:ascii="맑은 고딕" w:eastAsia="맑은 고딕" w:hAnsi="맑은 고딕"/>
          <w:color w:val="334155"/>
          <w:sz w:val="20"/>
          <w:szCs w:val="20"/>
        </w:rPr>
        <w:br/>
      </w:r>
      <w:r>
        <w:rPr>
          <w:rFonts w:ascii="맑은 고딕" w:eastAsia="맑은 고딕" w:hAnsi="맑은 고딕"/>
          <w:color w:val="334155"/>
          <w:sz w:val="20"/>
          <w:szCs w:val="20"/>
        </w:rPr>
        <w:t>2. 이용자가 본 서비스의 데이터를 참고하여 내린 선수 계약 협상, 구단 운영, 투자, 경기 베팅 등 일체의 최종 의사결정에 대한 책임은 전적으로 이용자 본인에게 있으며, 회사는 이에 따른 직·간접적 손실이나 손해에 대해 법적 책임을 부담하지 않습니다.</w:t>
      </w:r>
      <w:r>
        <w:rPr>
          <w:rFonts w:ascii="맑은 고딕" w:eastAsia="맑은 고딕" w:hAnsi="맑은 고딕"/>
          <w:color w:val="334155"/>
          <w:sz w:val="20"/>
          <w:szCs w:val="20"/>
        </w:rPr>
        <w:br/>
      </w:r>
      <w:r>
        <w:rPr>
          <w:rFonts w:ascii="맑은 고딕" w:eastAsia="맑은 고딕" w:hAnsi="맑은 고딕"/>
          <w:color w:val="334155"/>
          <w:sz w:val="20"/>
          <w:szCs w:val="20"/>
        </w:rPr>
        <w:t>3. 천재지변, 데이터 소싱 제공사의 네트워크 장애, 제휴사 서비스 중단 등 회사의 합리적인 통제 범위를 벗어난 사유로 인한 서비스 중단에 대해 회사는 책임을 면합니다.</w:t>
      </w:r>
    </w:p>
    <w:p>
      <w:pPr>
        <w:spacing w:after="40" w:before="120"/>
        <w:rPr>
          <w:rFonts w:ascii="맑은 고딕" w:eastAsia="맑은 고딕" w:hAnsi="맑은 고딕" w:hint="default"/>
          <w:sz w:val="20"/>
          <w:szCs w:val="20"/>
        </w:rPr>
      </w:pPr>
      <w:r>
        <w:rPr>
          <w:rFonts w:ascii="맑은 고딕" w:eastAsia="맑은 고딕" w:hAnsi="맑은 고딕"/>
          <w:b/>
          <w:color w:val="1E293B"/>
          <w:sz w:val="20"/>
          <w:szCs w:val="20"/>
        </w:rPr>
        <w:t>제6조 (준거법 및 관할법원)</w:t>
      </w:r>
    </w:p>
    <w:p>
      <w:pPr>
        <w:spacing w:after="120" w:before="0" w:line="288" w:lineRule="auto"/>
        <w:rPr>
          <w:rFonts w:ascii="맑은 고딕" w:eastAsia="맑은 고딕" w:hAnsi="맑은 고딕" w:hint="default"/>
          <w:sz w:val="20"/>
          <w:szCs w:val="20"/>
        </w:rPr>
      </w:pPr>
      <w:r>
        <w:rPr>
          <w:rFonts w:ascii="맑은 고딕" w:eastAsia="맑은 고딕" w:hAnsi="맑은 고딕"/>
          <w:color w:val="334155"/>
          <w:sz w:val="20"/>
          <w:szCs w:val="20"/>
        </w:rPr>
        <w:t>본 약관은 대한민국 법률에 따라 규율 및 해석되며, 회사와 이용자 간 발생한 일체의 분쟁에 대해서는 회사의 본사 소재지를 관할하는 법원을 전속관할로 합니다.</w:t>
      </w:r>
    </w:p>
    <w:p>
      <w:pPr>
        <w:spacing w:after="120" w:before="320"/>
        <w:rPr>
          <w:rFonts w:ascii="맑은 고딕" w:eastAsia="맑은 고딕" w:hAnsi="맑은 고딕" w:hint="default"/>
          <w:sz w:val="20"/>
          <w:szCs w:val="20"/>
        </w:rPr>
      </w:pPr>
      <w:r>
        <w:rPr>
          <w:rFonts w:ascii="맑은 고딕" w:eastAsia="맑은 고딕" w:hAnsi="맑은 고딕"/>
          <w:b/>
          <w:color w:val="EA580C"/>
          <w:sz w:val="20"/>
          <w:szCs w:val="20"/>
        </w:rPr>
        <w:t xml:space="preserve">[SECTION 2] </w:t>
      </w:r>
      <w:r>
        <w:rPr>
          <w:rFonts w:ascii="맑은 고딕" w:eastAsia="맑은 고딕" w:hAnsi="맑은 고딕"/>
          <w:b/>
          <w:color w:val="0F172A"/>
          <w:sz w:val="20"/>
          <w:szCs w:val="20"/>
        </w:rPr>
        <w:t>제2편. 개인정보 처리방침 (Privacy Policy)</w:t>
      </w:r>
    </w:p>
    <w:p>
      <w:pPr>
        <w:spacing w:after="40" w:before="120"/>
        <w:rPr>
          <w:rFonts w:ascii="맑은 고딕" w:eastAsia="맑은 고딕" w:hAnsi="맑은 고딕" w:hint="default"/>
          <w:sz w:val="20"/>
          <w:szCs w:val="20"/>
        </w:rPr>
      </w:pPr>
      <w:r>
        <w:rPr>
          <w:rFonts w:ascii="맑은 고딕" w:eastAsia="맑은 고딕" w:hAnsi="맑은 고딕"/>
          <w:b/>
          <w:color w:val="1E293B"/>
          <w:sz w:val="20"/>
          <w:szCs w:val="20"/>
        </w:rPr>
        <w:t>1. 개인정보 수집 항목 및 수집 방법</w:t>
      </w:r>
    </w:p>
    <w:p>
      <w:pPr>
        <w:spacing w:after="120" w:before="0" w:line="288" w:lineRule="auto"/>
        <w:rPr>
          <w:rFonts w:ascii="맑은 고딕" w:eastAsia="맑은 고딕" w:hAnsi="맑은 고딕" w:hint="default"/>
          <w:sz w:val="20"/>
          <w:szCs w:val="20"/>
        </w:rPr>
      </w:pPr>
      <w:r>
        <w:rPr>
          <w:rFonts w:ascii="맑은 고딕" w:eastAsia="맑은 고딕" w:hAnsi="맑은 고딕"/>
          <w:color w:val="334155"/>
          <w:sz w:val="20"/>
          <w:szCs w:val="20"/>
        </w:rPr>
        <w:t>회사는 원활한 서비스 제공을 위해 최소한의 개인정보를 수집하고 있습니다.</w:t>
      </w:r>
      <w:r>
        <w:rPr>
          <w:rFonts w:ascii="맑은 고딕" w:eastAsia="맑은 고딕" w:hAnsi="맑은 고딕"/>
          <w:color w:val="334155"/>
          <w:sz w:val="20"/>
          <w:szCs w:val="20"/>
        </w:rPr>
        <w:br/>
      </w:r>
      <w:r>
        <w:rPr>
          <w:rFonts w:ascii="맑은 고딕" w:eastAsia="맑은 고딕" w:hAnsi="맑은 고딕"/>
          <w:color w:val="334155"/>
          <w:sz w:val="20"/>
          <w:szCs w:val="20"/>
        </w:rPr>
        <w:t>• 회원가입 및 데모 문의 시: 성명, 이메일 주소, 연락처, 소속 기관(구단/에이전시/미디어/기업명), 담당 직책</w:t>
      </w:r>
      <w:r>
        <w:rPr>
          <w:rFonts w:ascii="맑은 고딕" w:eastAsia="맑은 고딕" w:hAnsi="맑은 고딕"/>
          <w:color w:val="334155"/>
          <w:sz w:val="20"/>
          <w:szCs w:val="20"/>
        </w:rPr>
        <w:br/>
      </w:r>
      <w:r>
        <w:rPr>
          <w:rFonts w:ascii="맑은 고딕" w:eastAsia="맑은 고딕" w:hAnsi="맑은 고딕"/>
          <w:color w:val="334155"/>
          <w:sz w:val="20"/>
          <w:szCs w:val="20"/>
        </w:rPr>
        <w:t>• 스카우트 포털(선수 등록) 이용 시: 선수 성명, 프로필 사진, 생년월일, 소속 리그/팀, 포지션, 주요 스탯, 희망 연봉, 에이전트 연락처</w:t>
      </w:r>
      <w:r>
        <w:rPr>
          <w:rFonts w:ascii="맑은 고딕" w:eastAsia="맑은 고딕" w:hAnsi="맑은 고딕"/>
          <w:color w:val="334155"/>
          <w:sz w:val="20"/>
          <w:szCs w:val="20"/>
        </w:rPr>
        <w:br/>
      </w:r>
      <w:r>
        <w:rPr>
          <w:rFonts w:ascii="맑은 고딕" w:eastAsia="맑은 고딕" w:hAnsi="맑은 고딕"/>
          <w:color w:val="334155"/>
          <w:sz w:val="20"/>
          <w:szCs w:val="20"/>
        </w:rPr>
        <w:t>• 유료 결제 시: 결제 수단 정보, 거래 내역 (결제 대행사 PG사를 통한 안전한 암호화 전송 및 처리)</w:t>
      </w:r>
      <w:r>
        <w:rPr>
          <w:rFonts w:ascii="맑은 고딕" w:eastAsia="맑은 고딕" w:hAnsi="맑은 고딕"/>
          <w:color w:val="334155"/>
          <w:sz w:val="20"/>
          <w:szCs w:val="20"/>
        </w:rPr>
        <w:br/>
      </w:r>
      <w:r>
        <w:rPr>
          <w:rFonts w:ascii="맑은 고딕" w:eastAsia="맑은 고딕" w:hAnsi="맑은 고딕"/>
          <w:color w:val="334155"/>
          <w:sz w:val="20"/>
          <w:szCs w:val="20"/>
        </w:rPr>
        <w:t>• 자동 수집 정보: 접속 IP 주소, 쿠키(Cookie), 서비스 이용 기록, 브라우저 사양, 기기 식별값</w:t>
      </w:r>
    </w:p>
    <w:p>
      <w:pPr>
        <w:spacing w:after="40" w:before="120"/>
        <w:rPr>
          <w:rFonts w:ascii="맑은 고딕" w:eastAsia="맑은 고딕" w:hAnsi="맑은 고딕" w:hint="default"/>
          <w:sz w:val="20"/>
          <w:szCs w:val="20"/>
        </w:rPr>
      </w:pPr>
      <w:r>
        <w:rPr>
          <w:rFonts w:ascii="맑은 고딕" w:eastAsia="맑은 고딕" w:hAnsi="맑은 고딕"/>
          <w:b/>
          <w:color w:val="1E293B"/>
          <w:sz w:val="20"/>
          <w:szCs w:val="20"/>
        </w:rPr>
        <w:t>2. 개인정보의 수집 및 이용 목적</w:t>
      </w:r>
    </w:p>
    <w:p>
      <w:pPr>
        <w:spacing w:after="120" w:before="0" w:line="288" w:lineRule="auto"/>
        <w:rPr>
          <w:rFonts w:ascii="맑은 고딕" w:eastAsia="맑은 고딕" w:hAnsi="맑은 고딕" w:hint="default"/>
          <w:sz w:val="20"/>
          <w:szCs w:val="20"/>
        </w:rPr>
      </w:pPr>
      <w:r>
        <w:rPr>
          <w:rFonts w:ascii="맑은 고딕" w:eastAsia="맑은 고딕" w:hAnsi="맑은 고딕"/>
          <w:color w:val="334155"/>
          <w:sz w:val="20"/>
          <w:szCs w:val="20"/>
        </w:rPr>
        <w:t>• 회원 식별, 계정 관리 및 본인 확인</w:t>
      </w:r>
      <w:r>
        <w:rPr>
          <w:rFonts w:ascii="맑은 고딕" w:eastAsia="맑은 고딕" w:hAnsi="맑은 고딕"/>
          <w:color w:val="334155"/>
          <w:sz w:val="20"/>
          <w:szCs w:val="20"/>
        </w:rPr>
        <w:br/>
      </w:r>
      <w:r>
        <w:rPr>
          <w:rFonts w:ascii="맑은 고딕" w:eastAsia="맑은 고딕" w:hAnsi="맑은 고딕"/>
          <w:color w:val="334155"/>
          <w:sz w:val="20"/>
          <w:szCs w:val="20"/>
        </w:rPr>
        <w:t>• AI 기반 선수 가치 예측, 경기 시뮬레이션, 스카우팅 포털 및 분석 리포트 서비스 제공</w:t>
      </w:r>
      <w:r>
        <w:rPr>
          <w:rFonts w:ascii="맑은 고딕" w:eastAsia="맑은 고딕" w:hAnsi="맑은 고딕"/>
          <w:color w:val="334155"/>
          <w:sz w:val="20"/>
          <w:szCs w:val="20"/>
        </w:rPr>
        <w:br/>
      </w:r>
      <w:r>
        <w:rPr>
          <w:rFonts w:ascii="맑은 고딕" w:eastAsia="맑은 고딕" w:hAnsi="맑은 고딕"/>
          <w:color w:val="334155"/>
          <w:sz w:val="20"/>
          <w:szCs w:val="20"/>
        </w:rPr>
        <w:t>• B2B SaaS 구독 및 단건 리포트 결제 승인, 정산 및 고객 지원</w:t>
      </w:r>
      <w:r>
        <w:rPr>
          <w:rFonts w:ascii="맑은 고딕" w:eastAsia="맑은 고딕" w:hAnsi="맑은 고딕"/>
          <w:color w:val="334155"/>
          <w:sz w:val="20"/>
          <w:szCs w:val="20"/>
        </w:rPr>
        <w:br/>
      </w:r>
      <w:r>
        <w:rPr>
          <w:rFonts w:ascii="맑은 고딕" w:eastAsia="맑은 고딕" w:hAnsi="맑은 고딕"/>
          <w:color w:val="334155"/>
          <w:sz w:val="20"/>
          <w:szCs w:val="20"/>
        </w:rPr>
        <w:t>• 신규 도메인(야구, e스포츠, 포커 등) 업데이트 알림 및 서비스 품질 개선 통계 분석</w:t>
      </w:r>
    </w:p>
    <w:p>
      <w:pPr>
        <w:spacing w:after="40" w:before="120"/>
        <w:rPr>
          <w:rFonts w:ascii="맑은 고딕" w:eastAsia="맑은 고딕" w:hAnsi="맑은 고딕" w:hint="default"/>
          <w:sz w:val="20"/>
          <w:szCs w:val="20"/>
        </w:rPr>
      </w:pPr>
      <w:r>
        <w:rPr>
          <w:rFonts w:ascii="맑은 고딕" w:eastAsia="맑은 고딕" w:hAnsi="맑은 고딕"/>
          <w:b/>
          <w:color w:val="1E293B"/>
          <w:sz w:val="20"/>
          <w:szCs w:val="20"/>
        </w:rPr>
        <w:t>3. 개인정보의 보유 및 이용 기간</w:t>
      </w:r>
    </w:p>
    <w:p>
      <w:pPr>
        <w:spacing w:after="120" w:before="0" w:line="288" w:lineRule="auto"/>
        <w:rPr>
          <w:rFonts w:ascii="맑은 고딕" w:eastAsia="맑은 고딕" w:hAnsi="맑은 고딕" w:hint="default"/>
          <w:sz w:val="20"/>
          <w:szCs w:val="20"/>
        </w:rPr>
      </w:pPr>
      <w:r>
        <w:rPr>
          <w:rFonts w:ascii="맑은 고딕" w:eastAsia="맑은 고딕" w:hAnsi="맑은 고딕"/>
          <w:color w:val="334155"/>
          <w:sz w:val="20"/>
          <w:szCs w:val="20"/>
        </w:rPr>
        <w:t>원칙적으로 개인정보의 수집 및 이용 목적이 달성된 후에는 해당 정보를 지체 없이 복구 불가능한 방법으로 파기합니다.</w:t>
      </w:r>
      <w:r>
        <w:rPr>
          <w:rFonts w:ascii="맑은 고딕" w:eastAsia="맑은 고딕" w:hAnsi="맑은 고딕"/>
          <w:color w:val="334155"/>
          <w:sz w:val="20"/>
          <w:szCs w:val="20"/>
        </w:rPr>
        <w:br/>
      </w:r>
      <w:r>
        <w:rPr>
          <w:rFonts w:ascii="맑은 고딕" w:eastAsia="맑은 고딕" w:hAnsi="맑은 고딕"/>
          <w:color w:val="334155"/>
          <w:sz w:val="20"/>
          <w:szCs w:val="20"/>
        </w:rPr>
        <w:t>단, 관계 법령(전자상거래 등에서의 소비자보호에 관한 법률 등)의 규정에 따라 다음과 같이 보존합니다.</w:t>
      </w:r>
      <w:r>
        <w:rPr>
          <w:rFonts w:ascii="맑은 고딕" w:eastAsia="맑은 고딕" w:hAnsi="맑은 고딕"/>
          <w:color w:val="334155"/>
          <w:sz w:val="20"/>
          <w:szCs w:val="20"/>
        </w:rPr>
        <w:br/>
      </w:r>
      <w:r>
        <w:rPr>
          <w:rFonts w:ascii="맑은 고딕" w:eastAsia="맑은 고딕" w:hAnsi="맑은 고딕"/>
          <w:color w:val="334155"/>
          <w:sz w:val="20"/>
          <w:szCs w:val="20"/>
        </w:rPr>
        <w:t>• 계약 또는 청약철회 등에 관한 기록: 5년</w:t>
      </w:r>
      <w:r>
        <w:rPr>
          <w:rFonts w:ascii="맑은 고딕" w:eastAsia="맑은 고딕" w:hAnsi="맑은 고딕"/>
          <w:color w:val="334155"/>
          <w:sz w:val="20"/>
          <w:szCs w:val="20"/>
        </w:rPr>
        <w:br/>
      </w:r>
      <w:r>
        <w:rPr>
          <w:rFonts w:ascii="맑은 고딕" w:eastAsia="맑은 고딕" w:hAnsi="맑은 고딕"/>
          <w:color w:val="334155"/>
          <w:sz w:val="20"/>
          <w:szCs w:val="20"/>
        </w:rPr>
        <w:t>• 대금결제 및 재화 등의 공급에 관한 기록: 5년</w:t>
      </w:r>
      <w:r>
        <w:rPr>
          <w:rFonts w:ascii="맑은 고딕" w:eastAsia="맑은 고딕" w:hAnsi="맑은 고딕"/>
          <w:color w:val="334155"/>
          <w:sz w:val="20"/>
          <w:szCs w:val="20"/>
        </w:rPr>
        <w:br/>
      </w:r>
      <w:r>
        <w:rPr>
          <w:rFonts w:ascii="맑은 고딕" w:eastAsia="맑은 고딕" w:hAnsi="맑은 고딕"/>
          <w:color w:val="334155"/>
          <w:sz w:val="20"/>
          <w:szCs w:val="20"/>
        </w:rPr>
        <w:t>• 소비자의 불만 또는 분쟁처리에 관한 기록: 3년</w:t>
      </w:r>
      <w:r>
        <w:rPr>
          <w:rFonts w:ascii="맑은 고딕" w:eastAsia="맑은 고딕" w:hAnsi="맑은 고딕"/>
          <w:color w:val="334155"/>
          <w:sz w:val="20"/>
          <w:szCs w:val="20"/>
        </w:rPr>
        <w:br/>
      </w:r>
      <w:r>
        <w:rPr>
          <w:rFonts w:ascii="맑은 고딕" w:eastAsia="맑은 고딕" w:hAnsi="맑은 고딕"/>
          <w:color w:val="334155"/>
          <w:sz w:val="20"/>
          <w:szCs w:val="20"/>
        </w:rPr>
        <w:t>• 웹사이트 방문 로그 기록: 3개월</w:t>
      </w:r>
    </w:p>
    <w:p>
      <w:pPr>
        <w:spacing w:after="40" w:before="120"/>
        <w:rPr>
          <w:rFonts w:ascii="맑은 고딕" w:eastAsia="맑은 고딕" w:hAnsi="맑은 고딕" w:hint="default"/>
          <w:sz w:val="20"/>
          <w:szCs w:val="20"/>
        </w:rPr>
      </w:pPr>
      <w:r>
        <w:rPr>
          <w:rFonts w:ascii="맑은 고딕" w:eastAsia="맑은 고딕" w:hAnsi="맑은 고딕"/>
          <w:b/>
          <w:color w:val="1E293B"/>
          <w:sz w:val="20"/>
          <w:szCs w:val="20"/>
        </w:rPr>
        <w:t>4. 개인정보의 제3자 제공 및 위탁</w:t>
      </w:r>
    </w:p>
    <w:p>
      <w:pPr>
        <w:spacing w:after="120" w:before="0" w:line="288" w:lineRule="auto"/>
        <w:rPr>
          <w:rFonts w:ascii="맑은 고딕" w:eastAsia="맑은 고딕" w:hAnsi="맑은 고딕" w:hint="default"/>
          <w:sz w:val="20"/>
          <w:szCs w:val="20"/>
        </w:rPr>
      </w:pPr>
      <w:r>
        <w:rPr>
          <w:rFonts w:ascii="맑은 고딕" w:eastAsia="맑은 고딕" w:hAnsi="맑은 고딕"/>
          <w:color w:val="334155"/>
          <w:sz w:val="20"/>
          <w:szCs w:val="20"/>
        </w:rPr>
        <w:t>회사는 이용자의 사전 동의 없이 개인정보를 외부에 제공하지 않습니다. 다만, 안정적인 서비스 인프라 제공을 위해 전문 업체(클라우드 호스팅사, 전자결제대행사)에 업무를 위탁하여 운영하며, 위탁 시 개인정보 보호 조항을 철저히 체결하여 관리·감독하고 있습니다.</w:t>
      </w:r>
    </w:p>
    <w:p>
      <w:pPr>
        <w:spacing w:after="40" w:before="120"/>
        <w:rPr>
          <w:rFonts w:ascii="맑은 고딕" w:eastAsia="맑은 고딕" w:hAnsi="맑은 고딕" w:hint="default"/>
          <w:sz w:val="20"/>
          <w:szCs w:val="20"/>
        </w:rPr>
      </w:pPr>
      <w:r>
        <w:rPr>
          <w:rFonts w:ascii="맑은 고딕" w:eastAsia="맑은 고딕" w:hAnsi="맑은 고딕"/>
          <w:b/>
          <w:color w:val="1E293B"/>
          <w:sz w:val="20"/>
          <w:szCs w:val="20"/>
        </w:rPr>
        <w:t>5. 개인정보 보호책임자</w:t>
      </w:r>
    </w:p>
    <w:p>
      <w:pPr>
        <w:spacing w:after="120" w:before="0" w:line="288" w:lineRule="auto"/>
        <w:rPr>
          <w:rFonts w:ascii="맑은 고딕" w:eastAsia="맑은 고딕" w:hAnsi="맑은 고딕" w:hint="default"/>
          <w:sz w:val="20"/>
          <w:szCs w:val="20"/>
        </w:rPr>
      </w:pPr>
      <w:r>
        <w:rPr>
          <w:rFonts w:ascii="맑은 고딕" w:eastAsia="맑은 고딕" w:hAnsi="맑은 고딕"/>
          <w:color w:val="334155"/>
          <w:sz w:val="20"/>
          <w:szCs w:val="20"/>
        </w:rPr>
        <w:t>• 부서: ValueTrack 정보보호 및 개인정보팀</w:t>
      </w:r>
      <w:r>
        <w:rPr>
          <w:rFonts w:ascii="맑은 고딕" w:eastAsia="맑은 고딕" w:hAnsi="맑은 고딕"/>
          <w:color w:val="334155"/>
          <w:sz w:val="20"/>
          <w:szCs w:val="20"/>
        </w:rPr>
        <w:br/>
      </w:r>
      <w:r>
        <w:rPr>
          <w:rFonts w:ascii="맑은 고딕" w:eastAsia="맑은 고딕" w:hAnsi="맑은 고딕"/>
          <w:color w:val="334155"/>
          <w:sz w:val="20"/>
          <w:szCs w:val="20"/>
        </w:rPr>
        <w:t>• 대표 이메일: contact@valuetrack.pro</w:t>
      </w:r>
      <w:r>
        <w:rPr>
          <w:rFonts w:ascii="맑은 고딕" w:eastAsia="맑은 고딕" w:hAnsi="맑은 고딕"/>
          <w:color w:val="334155"/>
          <w:sz w:val="20"/>
          <w:szCs w:val="20"/>
        </w:rPr>
        <w:br/>
      </w:r>
      <w:r>
        <w:rPr>
          <w:rFonts w:ascii="맑은 고딕" w:eastAsia="맑은 고딕" w:hAnsi="맑은 고딕"/>
          <w:color w:val="334155"/>
          <w:sz w:val="20"/>
          <w:szCs w:val="20"/>
        </w:rPr>
        <w:t>• 운영사: 블링커스(주)</w:t>
      </w:r>
    </w:p>
    <w:p>
      <w:pPr>
        <w:spacing w:after="120" w:before="320"/>
        <w:rPr>
          <w:rFonts w:ascii="맑은 고딕" w:eastAsia="맑은 고딕" w:hAnsi="맑은 고딕" w:hint="default"/>
          <w:sz w:val="20"/>
          <w:szCs w:val="20"/>
        </w:rPr>
      </w:pPr>
      <w:r>
        <w:rPr>
          <w:rFonts w:ascii="맑은 고딕" w:eastAsia="맑은 고딕" w:hAnsi="맑은 고딕"/>
          <w:b/>
          <w:color w:val="EA580C"/>
          <w:sz w:val="20"/>
          <w:szCs w:val="20"/>
        </w:rPr>
        <w:t xml:space="preserve">[SECTION 3] </w:t>
      </w:r>
      <w:r>
        <w:rPr>
          <w:rFonts w:ascii="맑은 고딕" w:eastAsia="맑은 고딕" w:hAnsi="맑은 고딕"/>
          <w:b/>
          <w:color w:val="0F172A"/>
          <w:sz w:val="20"/>
          <w:szCs w:val="20"/>
        </w:rPr>
        <w:t>제3편. 환불 및 취소 규정 (Refund &amp; Cancellation Policy)</w:t>
      </w:r>
    </w:p>
    <w:p>
      <w:pPr>
        <w:spacing w:after="40" w:before="120"/>
        <w:rPr>
          <w:rFonts w:ascii="맑은 고딕" w:eastAsia="맑은 고딕" w:hAnsi="맑은 고딕" w:hint="default"/>
          <w:sz w:val="20"/>
          <w:szCs w:val="20"/>
        </w:rPr>
      </w:pPr>
      <w:r>
        <w:rPr>
          <w:rFonts w:ascii="맑은 고딕" w:eastAsia="맑은 고딕" w:hAnsi="맑은 고딕"/>
          <w:b/>
          <w:color w:val="1E293B"/>
          <w:sz w:val="20"/>
          <w:szCs w:val="20"/>
        </w:rPr>
        <w:t>제1조 (청약철회 및 환불 기본 원칙)</w:t>
      </w:r>
    </w:p>
    <w:p>
      <w:pPr>
        <w:spacing w:after="120" w:before="0" w:line="288" w:lineRule="auto"/>
        <w:rPr>
          <w:rFonts w:ascii="맑은 고딕" w:eastAsia="맑은 고딕" w:hAnsi="맑은 고딕" w:hint="default"/>
          <w:sz w:val="20"/>
          <w:szCs w:val="20"/>
        </w:rPr>
      </w:pPr>
      <w:r>
        <w:rPr>
          <w:rFonts w:ascii="맑은 고딕" w:eastAsia="맑은 고딕" w:hAnsi="맑은 고딕"/>
          <w:color w:val="334155"/>
          <w:sz w:val="20"/>
          <w:szCs w:val="20"/>
        </w:rPr>
        <w:t>회사는 「전자상거래 등에서의 소비자보호에 관한 법률」 및 관계 법령을 준수하며, 소비자의 정당한 청약철회 권리를 보장합니다.</w:t>
      </w:r>
    </w:p>
    <w:p>
      <w:pPr>
        <w:spacing w:after="40" w:before="120"/>
        <w:rPr>
          <w:rFonts w:ascii="맑은 고딕" w:eastAsia="맑은 고딕" w:hAnsi="맑은 고딕" w:hint="default"/>
          <w:sz w:val="20"/>
          <w:szCs w:val="20"/>
        </w:rPr>
      </w:pPr>
      <w:r>
        <w:rPr>
          <w:rFonts w:ascii="맑은 고딕" w:eastAsia="맑은 고딕" w:hAnsi="맑은 고딕"/>
          <w:b/>
          <w:color w:val="1E293B"/>
          <w:sz w:val="20"/>
          <w:szCs w:val="20"/>
        </w:rPr>
        <w:t>제2조 (디지털 리포트 및 단건 결제 서비스)</w:t>
      </w:r>
    </w:p>
    <w:p>
      <w:pPr>
        <w:spacing w:after="120" w:before="0" w:line="288" w:lineRule="auto"/>
        <w:rPr>
          <w:rFonts w:ascii="맑은 고딕" w:eastAsia="맑은 고딕" w:hAnsi="맑은 고딕" w:hint="default"/>
          <w:sz w:val="20"/>
          <w:szCs w:val="20"/>
        </w:rPr>
      </w:pPr>
      <w:r>
        <w:rPr>
          <w:rFonts w:ascii="맑은 고딕" w:eastAsia="맑은 고딕" w:hAnsi="맑은 고딕"/>
          <w:color w:val="334155"/>
          <w:sz w:val="20"/>
          <w:szCs w:val="20"/>
        </w:rPr>
        <w:t>1. 결제 즉시 데이터 열람 또는 다운로드가 제공되는 '디지털 분석 리포트' 및 '단건 예측 조회권'은 전자상거래법 제17조 제2항에 따른 디지털 콘텐츠로서, 콘텐츠를 열람하거나 다운로드한 시점에 서비스 제공이 완료된 것으로 간주하여 청약철회(환불)가 제한됩니다.</w:t>
      </w:r>
      <w:r>
        <w:rPr>
          <w:rFonts w:ascii="맑은 고딕" w:eastAsia="맑은 고딕" w:hAnsi="맑은 고딕"/>
          <w:color w:val="334155"/>
          <w:sz w:val="20"/>
          <w:szCs w:val="20"/>
        </w:rPr>
        <w:br/>
      </w:r>
      <w:r>
        <w:rPr>
          <w:rFonts w:ascii="맑은 고딕" w:eastAsia="맑은 고딕" w:hAnsi="맑은 고딕"/>
          <w:color w:val="334155"/>
          <w:sz w:val="20"/>
          <w:szCs w:val="20"/>
        </w:rPr>
        <w:t>2. 결제 완료 후 7일 이내로서 콘텐츠를 전혀 열람하지 아니하고 다운로드 이력이 없는 경우에는 고객센터를 통해 결제 취소 및 전액 환불이 가능합니다.</w:t>
      </w:r>
      <w:r>
        <w:rPr>
          <w:rFonts w:ascii="맑은 고딕" w:eastAsia="맑은 고딕" w:hAnsi="맑은 고딕"/>
          <w:color w:val="334155"/>
          <w:sz w:val="20"/>
          <w:szCs w:val="20"/>
        </w:rPr>
        <w:br/>
      </w:r>
      <w:r>
        <w:rPr>
          <w:rFonts w:ascii="맑은 고딕" w:eastAsia="맑은 고딕" w:hAnsi="맑은 고딕"/>
          <w:color w:val="334155"/>
          <w:sz w:val="20"/>
          <w:szCs w:val="20"/>
        </w:rPr>
        <w:t>3. 회사의 시스템 오류, 데이터 누락 등으로 정상적인 리포트 열람이 불가능한 경우, 즉각적인 재제공 또는 결제 금액 전액을 환불 처리합니다.</w:t>
      </w:r>
    </w:p>
    <w:p>
      <w:pPr>
        <w:spacing w:after="40" w:before="120"/>
        <w:rPr>
          <w:rFonts w:ascii="맑은 고딕" w:eastAsia="맑은 고딕" w:hAnsi="맑은 고딕" w:hint="default"/>
          <w:sz w:val="20"/>
          <w:szCs w:val="20"/>
        </w:rPr>
      </w:pPr>
      <w:r>
        <w:rPr>
          <w:rFonts w:ascii="맑은 고딕" w:eastAsia="맑은 고딕" w:hAnsi="맑은 고딕"/>
          <w:b/>
          <w:color w:val="1E293B"/>
          <w:sz w:val="20"/>
          <w:szCs w:val="20"/>
        </w:rPr>
        <w:t>제3조 (정기 구독 서비스 - B2B SaaS)</w:t>
      </w:r>
    </w:p>
    <w:p>
      <w:pPr>
        <w:spacing w:after="120" w:before="0" w:line="288" w:lineRule="auto"/>
        <w:rPr>
          <w:rFonts w:ascii="맑은 고딕" w:eastAsia="맑은 고딕" w:hAnsi="맑은 고딕" w:hint="default"/>
          <w:sz w:val="20"/>
          <w:szCs w:val="20"/>
        </w:rPr>
      </w:pPr>
      <w:r>
        <w:rPr>
          <w:rFonts w:ascii="맑은 고딕" w:eastAsia="맑은 고딕" w:hAnsi="맑은 고딕"/>
          <w:color w:val="334155"/>
          <w:sz w:val="20"/>
          <w:szCs w:val="20"/>
        </w:rPr>
        <w:t>1. 정기 구독(월간/연간) 서비스는 다음 결제 주기 도래 전 언제든지 대시보드 또는 고객센터를 통해 자동 결제를 해지할 수 있습니다. 해지 시 차기 결제일부터 추가 청구되지 않으며, 이미 결제된 이용 기간의 만료일까지 정상적으로 이용할 수 있습니다.</w:t>
      </w:r>
      <w:r>
        <w:rPr>
          <w:rFonts w:ascii="맑은 고딕" w:eastAsia="맑은 고딕" w:hAnsi="맑은 고딕"/>
          <w:color w:val="334155"/>
          <w:sz w:val="20"/>
          <w:szCs w:val="20"/>
        </w:rPr>
        <w:br/>
      </w:r>
      <w:r>
        <w:rPr>
          <w:rFonts w:ascii="맑은 고딕" w:eastAsia="맑은 고딕" w:hAnsi="맑은 고딕"/>
          <w:color w:val="334155"/>
          <w:sz w:val="20"/>
          <w:szCs w:val="20"/>
        </w:rPr>
        <w:t>2. 결제일로부터 7일 이내에 서비스(대시보드 조회, 시뮬레이터 구동 등)를 전혀 이용하지 않은 경우 전액 환불이 가능합니다.</w:t>
      </w:r>
      <w:r>
        <w:rPr>
          <w:rFonts w:ascii="맑은 고딕" w:eastAsia="맑은 고딕" w:hAnsi="맑은 고딕"/>
          <w:color w:val="334155"/>
          <w:sz w:val="20"/>
          <w:szCs w:val="20"/>
        </w:rPr>
        <w:br/>
      </w:r>
      <w:r>
        <w:rPr>
          <w:rFonts w:ascii="맑은 고딕" w:eastAsia="맑은 고딕" w:hAnsi="맑은 고딕"/>
          <w:color w:val="334155"/>
          <w:sz w:val="20"/>
          <w:szCs w:val="20"/>
        </w:rPr>
        <w:t>3. 서비스 이용 개시 이후 이용자의 단순 변심에 따른 중도 해지의 경우, 이미 경과된 기간(일할 계산 또는 해당 월 구독료)과 결제 대행 수수료를 공제한 잔여 금액이 환불됩니다.</w:t>
      </w:r>
    </w:p>
    <w:p>
      <w:pPr>
        <w:spacing w:after="40" w:before="120"/>
        <w:rPr>
          <w:rFonts w:ascii="맑은 고딕" w:eastAsia="맑은 고딕" w:hAnsi="맑은 고딕" w:hint="default"/>
          <w:sz w:val="20"/>
          <w:szCs w:val="20"/>
        </w:rPr>
      </w:pPr>
      <w:r>
        <w:rPr>
          <w:rFonts w:ascii="맑은 고딕" w:eastAsia="맑은 고딕" w:hAnsi="맑은 고딕"/>
          <w:b/>
          <w:color w:val="1E293B"/>
          <w:sz w:val="20"/>
          <w:szCs w:val="20"/>
        </w:rPr>
        <w:t>제4조 (환불 절차 및 소요 기간)</w:t>
      </w:r>
    </w:p>
    <w:p>
      <w:pPr>
        <w:spacing w:after="120" w:before="0" w:line="288" w:lineRule="auto"/>
        <w:rPr>
          <w:rFonts w:ascii="맑은 고딕" w:eastAsia="맑은 고딕" w:hAnsi="맑은 고딕" w:hint="default"/>
          <w:sz w:val="20"/>
          <w:szCs w:val="20"/>
        </w:rPr>
      </w:pPr>
      <w:r>
        <w:rPr>
          <w:rFonts w:ascii="맑은 고딕" w:eastAsia="맑은 고딕" w:hAnsi="맑은 고딕"/>
          <w:color w:val="334155"/>
          <w:sz w:val="20"/>
          <w:szCs w:val="20"/>
        </w:rPr>
        <w:t>환불 신청은 공식 이메일(contact@valuetrack.pro)을 통해 접수하며, 접수일로부터 영업일 기준 3~5일 이내에 결제 수단 승인 취소 또는 지정 계좌 환급 방식으로 신속하게 처리됩니다.</w:t>
      </w:r>
    </w:p>
    <w:p>
      <w:pPr>
        <w:spacing w:after="120" w:before="320"/>
        <w:rPr>
          <w:rFonts w:ascii="맑은 고딕" w:eastAsia="맑은 고딕" w:hAnsi="맑은 고딕" w:hint="default"/>
          <w:sz w:val="20"/>
          <w:szCs w:val="20"/>
        </w:rPr>
      </w:pPr>
      <w:r>
        <w:rPr>
          <w:rFonts w:ascii="맑은 고딕" w:eastAsia="맑은 고딕" w:hAnsi="맑은 고딕"/>
          <w:b/>
          <w:color w:val="EA580C"/>
          <w:sz w:val="20"/>
          <w:szCs w:val="20"/>
        </w:rPr>
        <w:t xml:space="preserve">[SECTION 4] </w:t>
      </w:r>
      <w:r>
        <w:rPr>
          <w:rFonts w:ascii="맑은 고딕" w:eastAsia="맑은 고딕" w:hAnsi="맑은 고딕"/>
          <w:b/>
          <w:color w:val="0F172A"/>
          <w:sz w:val="20"/>
          <w:szCs w:val="20"/>
        </w:rPr>
        <w:t>제4편. 웹사이트 푸터(Footer) 법적 필수 표기사항</w:t>
      </w:r>
    </w:p>
    <w:p>
      <w:pPr>
        <w:rPr>
          <w:rFonts w:ascii="맑은 고딕" w:eastAsia="맑은 고딕" w:hAnsi="맑은 고딕" w:hint="default"/>
          <w:sz w:val="20"/>
          <w:szCs w:val="20"/>
        </w:rPr>
      </w:pPr>
      <w:r>
        <w:rPr>
          <w:rFonts w:ascii="맑은 고딕" w:eastAsia="맑은 고딕" w:hAnsi="맑은 고딕"/>
          <w:color w:val="334155"/>
          <w:sz w:val="20"/>
          <w:szCs w:val="20"/>
        </w:rPr>
        <w:t>전자상거래법 및 사업자 정보 공시 규정에 따라 https://www.valuetrack.pro 웹사이트 하단(Footer) 영역에 실제로 배치해야 하는 텍스트 구성 및 링크 가이드라인입니다.</w:t>
      </w:r>
    </w:p>
    <w:tbl>
      <w:tblPr>
        <w:tblW w:w="0" w:type="auto"/>
        <w:tblLook w:val="04A0" w:firstRow="1" w:lastRow="0" w:firstColumn="1" w:lastColumn="0" w:noHBand="0" w:noVBand="1"/>
        <w:jc w:val="center"/>
      </w:tblPr>
      <w:tblGrid>
        <w:gridCol w:w="4680"/>
        <w:gridCol w:w="4680"/>
      </w:tblGrid>
      <w:tr>
        <w:tc>
          <w:tcPr>
            <w:tcW w:w="3168" w:type="dxa"/>
            <w:shd w:val="clear" w:color="auto" w:fill="1E293B"/>
            <w:tcMar>
              <w:top w:w="120" w:type="dxa"/>
              <w:left w:w="160" w:type="dxa"/>
              <w:bottom w:w="120" w:type="dxa"/>
              <w:right w:w="160" w:type="dxa"/>
            </w:tcMar>
          </w:tcPr>
          <w:p>
            <w:pPr>
              <w:rPr>
                <w:rFonts w:ascii="맑은 고딕" w:eastAsia="맑은 고딕" w:hAnsi="맑은 고딕" w:hint="default"/>
                <w:sz w:val="20"/>
                <w:szCs w:val="20"/>
              </w:rPr>
            </w:pPr>
            <w:r>
              <w:rPr>
                <w:rFonts w:ascii="맑은 고딕" w:eastAsia="맑은 고딕" w:hAnsi="맑은 고딕"/>
                <w:b/>
                <w:color w:val="FFFFFF"/>
                <w:sz w:val="20"/>
                <w:szCs w:val="20"/>
              </w:rPr>
              <w:t>항목 구분</w:t>
            </w:r>
          </w:p>
        </w:tc>
        <w:tc>
          <w:tcPr>
            <w:tcW w:w="6192" w:type="dxa"/>
            <w:shd w:val="clear" w:color="auto" w:fill="1E293B"/>
            <w:tcMar>
              <w:top w:w="120" w:type="dxa"/>
              <w:left w:w="160" w:type="dxa"/>
              <w:bottom w:w="120" w:type="dxa"/>
              <w:right w:w="160" w:type="dxa"/>
            </w:tcMar>
          </w:tcPr>
          <w:p>
            <w:pPr>
              <w:rPr>
                <w:rFonts w:ascii="맑은 고딕" w:eastAsia="맑은 고딕" w:hAnsi="맑은 고딕" w:hint="default"/>
                <w:sz w:val="20"/>
                <w:szCs w:val="20"/>
              </w:rPr>
            </w:pPr>
            <w:r>
              <w:rPr>
                <w:rFonts w:ascii="맑은 고딕" w:eastAsia="맑은 고딕" w:hAnsi="맑은 고딕"/>
                <w:b/>
                <w:color w:val="FFFFFF"/>
                <w:sz w:val="20"/>
                <w:szCs w:val="20"/>
              </w:rPr>
              <w:t>홈페이지 표기 내용 (ValueTrack Specification)</w:t>
            </w:r>
          </w:p>
        </w:tc>
      </w:tr>
      <w:tr>
        <w:tc>
          <w:tcPr>
            <w:tcW w:w="3168" w:type="dxa"/>
            <w:shd w:val="clear" w:color="auto" w:fill="FFFFFF"/>
            <w:tcMar>
              <w:top w:w="100" w:type="dxa"/>
              <w:left w:w="140" w:type="dxa"/>
              <w:bottom w:w="100" w:type="dxa"/>
              <w:right w:w="140" w:type="dxa"/>
            </w:tcMar>
          </w:tcPr>
          <w:p>
            <w:pPr>
              <w:rPr>
                <w:rFonts w:ascii="맑은 고딕" w:eastAsia="맑은 고딕" w:hAnsi="맑은 고딕" w:hint="default"/>
                <w:sz w:val="20"/>
                <w:szCs w:val="20"/>
              </w:rPr>
            </w:pPr>
            <w:r>
              <w:rPr>
                <w:rFonts w:ascii="맑은 고딕" w:eastAsia="맑은 고딕" w:hAnsi="맑은 고딕"/>
                <w:b/>
                <w:color w:val="0F172A"/>
                <w:sz w:val="20"/>
                <w:szCs w:val="20"/>
              </w:rPr>
              <w:t>상호명 / 법인명</w:t>
            </w:r>
          </w:p>
        </w:tc>
        <w:tc>
          <w:tcPr>
            <w:tcW w:w="6192" w:type="dxa"/>
            <w:shd w:val="clear" w:color="auto" w:fill="FFFFFF"/>
            <w:tcMar>
              <w:top w:w="100" w:type="dxa"/>
              <w:left w:w="140" w:type="dxa"/>
              <w:bottom w:w="100" w:type="dxa"/>
              <w:right w:w="140" w:type="dxa"/>
            </w:tcMar>
          </w:tcPr>
          <w:p>
            <w:pPr>
              <w:rPr>
                <w:rFonts w:ascii="맑은 고딕" w:eastAsia="맑은 고딕" w:hAnsi="맑은 고딕" w:hint="default"/>
                <w:sz w:val="20"/>
                <w:szCs w:val="20"/>
              </w:rPr>
            </w:pPr>
            <w:r>
              <w:rPr>
                <w:rFonts w:ascii="맑은 고딕" w:eastAsia="맑은 고딕" w:hAnsi="맑은 고딕"/>
                <w:color w:val="334155"/>
                <w:sz w:val="20"/>
                <w:szCs w:val="20"/>
              </w:rPr>
              <w:t>블링커스(주) (Blinkers Inc.)</w:t>
            </w:r>
          </w:p>
        </w:tc>
      </w:tr>
      <w:tr>
        <w:tc>
          <w:tcPr>
            <w:tcW w:w="3168" w:type="dxa"/>
            <w:shd w:val="clear" w:color="auto" w:fill="F8FAFC"/>
            <w:tcMar>
              <w:top w:w="100" w:type="dxa"/>
              <w:left w:w="140" w:type="dxa"/>
              <w:bottom w:w="100" w:type="dxa"/>
              <w:right w:w="140" w:type="dxa"/>
            </w:tcMar>
          </w:tcPr>
          <w:p>
            <w:pPr>
              <w:rPr>
                <w:rFonts w:ascii="맑은 고딕" w:eastAsia="맑은 고딕" w:hAnsi="맑은 고딕" w:hint="default"/>
                <w:sz w:val="20"/>
                <w:szCs w:val="20"/>
              </w:rPr>
            </w:pPr>
            <w:r>
              <w:rPr>
                <w:rFonts w:ascii="맑은 고딕" w:eastAsia="맑은 고딕" w:hAnsi="맑은 고딕"/>
                <w:b/>
                <w:color w:val="0F172A"/>
                <w:sz w:val="20"/>
                <w:szCs w:val="20"/>
              </w:rPr>
              <w:t>대표자 성명</w:t>
            </w:r>
          </w:p>
        </w:tc>
        <w:tc>
          <w:tcPr>
            <w:tcW w:w="6192" w:type="dxa"/>
            <w:shd w:val="clear" w:color="auto" w:fill="F8FAFC"/>
            <w:tcMar>
              <w:top w:w="100" w:type="dxa"/>
              <w:left w:w="140" w:type="dxa"/>
              <w:bottom w:w="100" w:type="dxa"/>
              <w:right w:w="140" w:type="dxa"/>
            </w:tcMar>
          </w:tcPr>
          <w:p>
            <w:pPr>
              <w:rPr>
                <w:rFonts w:ascii="맑은 고딕" w:eastAsia="맑은 고딕" w:hAnsi="맑은 고딕" w:hint="default"/>
                <w:sz w:val="20"/>
                <w:szCs w:val="20"/>
              </w:rPr>
            </w:pPr>
            <w:r>
              <w:rPr>
                <w:rFonts w:ascii="맑은 고딕" w:eastAsia="맑은 고딕" w:hAnsi="맑은 고딕"/>
                <w:color w:val="334155"/>
                <w:sz w:val="20"/>
                <w:szCs w:val="20"/>
              </w:rPr>
              <w:t>박상욱</w:t>
            </w:r>
          </w:p>
        </w:tc>
      </w:tr>
      <w:tr>
        <w:tc>
          <w:tcPr>
            <w:tcW w:w="3168" w:type="dxa"/>
            <w:shd w:val="clear" w:color="auto" w:fill="FFFFFF"/>
            <w:tcMar>
              <w:top w:w="100" w:type="dxa"/>
              <w:left w:w="140" w:type="dxa"/>
              <w:bottom w:w="100" w:type="dxa"/>
              <w:right w:w="140" w:type="dxa"/>
            </w:tcMar>
          </w:tcPr>
          <w:p>
            <w:pPr>
              <w:rPr>
                <w:rFonts w:ascii="맑은 고딕" w:eastAsia="맑은 고딕" w:hAnsi="맑은 고딕" w:hint="default"/>
                <w:sz w:val="20"/>
                <w:szCs w:val="20"/>
              </w:rPr>
            </w:pPr>
            <w:r>
              <w:rPr>
                <w:rFonts w:ascii="맑은 고딕" w:eastAsia="맑은 고딕" w:hAnsi="맑은 고딕"/>
                <w:b/>
                <w:color w:val="0F172A"/>
                <w:sz w:val="20"/>
                <w:szCs w:val="20"/>
              </w:rPr>
              <w:t>사업자등록번호</w:t>
            </w:r>
          </w:p>
        </w:tc>
        <w:tc>
          <w:tcPr>
            <w:tcW w:w="6192" w:type="dxa"/>
            <w:shd w:val="clear" w:color="auto" w:fill="FFFFFF"/>
            <w:tcMar>
              <w:top w:w="100" w:type="dxa"/>
              <w:left w:w="140" w:type="dxa"/>
              <w:bottom w:w="100" w:type="dxa"/>
              <w:right w:w="140" w:type="dxa"/>
            </w:tcMar>
          </w:tcPr>
          <w:p>
            <w:pPr>
              <w:rPr>
                <w:rFonts w:ascii="맑은 고딕" w:eastAsia="맑은 고딕" w:hAnsi="맑은 고딕" w:hint="default"/>
                <w:sz w:val="20"/>
                <w:szCs w:val="20"/>
              </w:rPr>
            </w:pPr>
            <w:r>
              <w:rPr>
                <w:lang w:eastAsia="ko-KR"/>
                <w:rFonts w:ascii="맑은 고딕" w:eastAsia="맑은 고딕" w:hAnsi="맑은 고딕"/>
                <w:color w:val="334155"/>
                <w:sz w:val="20"/>
                <w:szCs w:val="20"/>
                <w:rtl w:val="off"/>
              </w:rPr>
              <w:t>247-81-02402</w:t>
            </w:r>
          </w:p>
        </w:tc>
      </w:tr>
      <w:tr>
        <w:tc>
          <w:tcPr>
            <w:tcW w:w="3168" w:type="dxa"/>
            <w:shd w:val="clear" w:color="auto" w:fill="F8FAFC"/>
            <w:tcMar>
              <w:top w:w="100" w:type="dxa"/>
              <w:left w:w="140" w:type="dxa"/>
              <w:bottom w:w="100" w:type="dxa"/>
              <w:right w:w="140" w:type="dxa"/>
            </w:tcMar>
          </w:tcPr>
          <w:p>
            <w:pPr>
              <w:rPr>
                <w:rFonts w:ascii="맑은 고딕" w:eastAsia="맑은 고딕" w:hAnsi="맑은 고딕" w:hint="default"/>
                <w:sz w:val="20"/>
                <w:szCs w:val="20"/>
              </w:rPr>
            </w:pPr>
            <w:r>
              <w:rPr>
                <w:rFonts w:ascii="맑은 고딕" w:eastAsia="맑은 고딕" w:hAnsi="맑은 고딕"/>
                <w:b/>
                <w:color w:val="0F172A"/>
                <w:sz w:val="20"/>
                <w:szCs w:val="20"/>
              </w:rPr>
              <w:t>통신판매업신고번호</w:t>
            </w:r>
          </w:p>
        </w:tc>
        <w:tc>
          <w:tcPr>
            <w:tcW w:w="6192" w:type="dxa"/>
            <w:shd w:val="clear" w:color="auto" w:fill="F8FAFC"/>
            <w:tcMar>
              <w:top w:w="100" w:type="dxa"/>
              <w:left w:w="140" w:type="dxa"/>
              <w:bottom w:w="100" w:type="dxa"/>
              <w:right w:w="140" w:type="dxa"/>
            </w:tcMar>
          </w:tcPr>
          <w:p>
            <w:pPr>
              <w:ind w:firstLine="0"/>
              <w:shd w:val="clear" w:color="auto" w:fill="auto"/>
              <w:rPr>
                <w:caps w:val="off"/>
                <w:rFonts w:ascii="Inter" w:eastAsia="Inter" w:hAnsi="Inter" w:cs="Inter"/>
                <w:b w:val="0"/>
                <w:i w:val="0"/>
                <w:sz w:val="20"/>
              </w:rPr>
            </w:pPr>
            <w:r>
              <w:rPr>
                <w:caps w:val="off"/>
                <w:rFonts w:ascii="Inter" w:eastAsia="Inter" w:hAnsi="Inter" w:cs="Inter"/>
                <w:b w:val="0"/>
                <w:i w:val="0"/>
                <w:sz w:val="20"/>
              </w:rPr>
              <w:t>제 2022-대전유성-0485호</w:t>
            </w:r>
          </w:p>
          <w:p>
            <w:pPr>
              <w:spacing w:after="160"/>
              <w:rPr>
                <w:rFonts w:ascii="맑은 고딕" w:eastAsia="맑은 고딕" w:hAnsi="맑은 고딕" w:hint="default"/>
                <w:sz w:val="20"/>
                <w:szCs w:val="20"/>
              </w:rPr>
            </w:pPr>
          </w:p>
        </w:tc>
      </w:tr>
      <w:tr>
        <w:tc>
          <w:tcPr>
            <w:tcW w:w="3168" w:type="dxa"/>
            <w:shd w:val="clear" w:color="auto" w:fill="FFFFFF"/>
            <w:tcMar>
              <w:top w:w="100" w:type="dxa"/>
              <w:left w:w="140" w:type="dxa"/>
              <w:bottom w:w="100" w:type="dxa"/>
              <w:right w:w="140" w:type="dxa"/>
            </w:tcMar>
          </w:tcPr>
          <w:p>
            <w:pPr>
              <w:rPr>
                <w:rFonts w:ascii="맑은 고딕" w:eastAsia="맑은 고딕" w:hAnsi="맑은 고딕" w:hint="default"/>
                <w:sz w:val="20"/>
                <w:szCs w:val="20"/>
              </w:rPr>
            </w:pPr>
            <w:r>
              <w:rPr>
                <w:rFonts w:ascii="맑은 고딕" w:eastAsia="맑은 고딕" w:hAnsi="맑은 고딕"/>
                <w:b/>
                <w:color w:val="0F172A"/>
                <w:sz w:val="20"/>
                <w:szCs w:val="20"/>
              </w:rPr>
              <w:t>사업장 소재지</w:t>
            </w:r>
          </w:p>
        </w:tc>
        <w:tc>
          <w:tcPr>
            <w:tcW w:w="6192" w:type="dxa"/>
            <w:shd w:val="clear" w:color="auto" w:fill="FFFFFF"/>
            <w:tcMar>
              <w:top w:w="100" w:type="dxa"/>
              <w:left w:w="140" w:type="dxa"/>
              <w:bottom w:w="100" w:type="dxa"/>
              <w:right w:w="140" w:type="dxa"/>
            </w:tcMar>
          </w:tcPr>
          <w:p>
            <w:pPr>
              <w:ind w:firstLine="0"/>
              <w:shd w:val="clear" w:color="auto" w:fill="auto"/>
              <w:rPr>
                <w:rFonts w:ascii="맑은 고딕" w:eastAsia="맑은 고딕" w:hAnsi="맑은 고딕" w:hint="default"/>
                <w:sz w:val="20"/>
                <w:szCs w:val="20"/>
              </w:rPr>
            </w:pPr>
            <w:r>
              <w:rPr>
                <w:caps w:val="off"/>
                <w:rFonts w:ascii="Inter" w:eastAsia="Inter" w:hAnsi="Inter" w:cs="Inter"/>
                <w:b w:val="0"/>
                <w:i w:val="0"/>
                <w:sz w:val="20"/>
              </w:rPr>
              <w:t>본점: 대전광역시 유성구 과학나래2길 1, 201-2호 (구룡동)</w:t>
            </w:r>
          </w:p>
        </w:tc>
      </w:tr>
      <w:tr>
        <w:tc>
          <w:tcPr>
            <w:tcW w:w="3168" w:type="dxa"/>
            <w:shd w:val="clear" w:color="auto" w:fill="F8FAFC"/>
            <w:tcMar>
              <w:top w:w="100" w:type="dxa"/>
              <w:left w:w="140" w:type="dxa"/>
              <w:bottom w:w="100" w:type="dxa"/>
              <w:right w:w="140" w:type="dxa"/>
            </w:tcMar>
          </w:tcPr>
          <w:p>
            <w:pPr>
              <w:rPr>
                <w:rFonts w:ascii="맑은 고딕" w:eastAsia="맑은 고딕" w:hAnsi="맑은 고딕" w:hint="default"/>
                <w:sz w:val="20"/>
                <w:szCs w:val="20"/>
              </w:rPr>
            </w:pPr>
            <w:r>
              <w:rPr>
                <w:rFonts w:ascii="맑은 고딕" w:eastAsia="맑은 고딕" w:hAnsi="맑은 고딕"/>
                <w:b/>
                <w:color w:val="0F172A"/>
                <w:sz w:val="20"/>
                <w:szCs w:val="20"/>
              </w:rPr>
              <w:t>고객지원 / 공식 문의</w:t>
            </w:r>
          </w:p>
        </w:tc>
        <w:tc>
          <w:tcPr>
            <w:tcW w:w="6192" w:type="dxa"/>
            <w:shd w:val="clear" w:color="auto" w:fill="F8FAFC"/>
            <w:tcMar>
              <w:top w:w="100" w:type="dxa"/>
              <w:left w:w="140" w:type="dxa"/>
              <w:bottom w:w="100" w:type="dxa"/>
              <w:right w:w="140" w:type="dxa"/>
            </w:tcMar>
          </w:tcPr>
          <w:p>
            <w:pPr>
              <w:rPr>
                <w:rFonts w:ascii="맑은 고딕" w:eastAsia="맑은 고딕" w:hAnsi="맑은 고딕" w:hint="default"/>
                <w:sz w:val="20"/>
                <w:szCs w:val="20"/>
              </w:rPr>
            </w:pPr>
            <w:r>
              <w:rPr>
                <w:rFonts w:ascii="맑은 고딕" w:eastAsia="맑은 고딕" w:hAnsi="맑은 고딕"/>
                <w:color w:val="334155"/>
                <w:sz w:val="20"/>
                <w:szCs w:val="20"/>
              </w:rPr>
              <w:t>contact@valuetrack.pro  |  웹사이트: https://www.valuetrack.pro</w:t>
            </w:r>
          </w:p>
        </w:tc>
      </w:tr>
      <w:tr>
        <w:tc>
          <w:tcPr>
            <w:tcW w:w="3168" w:type="dxa"/>
            <w:shd w:val="clear" w:color="auto" w:fill="FFFFFF"/>
            <w:tcMar>
              <w:top w:w="100" w:type="dxa"/>
              <w:left w:w="140" w:type="dxa"/>
              <w:bottom w:w="100" w:type="dxa"/>
              <w:right w:w="140" w:type="dxa"/>
            </w:tcMar>
          </w:tcPr>
          <w:p>
            <w:pPr>
              <w:rPr>
                <w:rFonts w:ascii="맑은 고딕" w:eastAsia="맑은 고딕" w:hAnsi="맑은 고딕" w:hint="default"/>
                <w:sz w:val="20"/>
                <w:szCs w:val="20"/>
              </w:rPr>
            </w:pPr>
            <w:r>
              <w:rPr>
                <w:rFonts w:ascii="맑은 고딕" w:eastAsia="맑은 고딕" w:hAnsi="맑은 고딕"/>
                <w:b/>
                <w:color w:val="0F172A"/>
                <w:sz w:val="20"/>
                <w:szCs w:val="20"/>
              </w:rPr>
              <w:t>법적 고지 링크</w:t>
            </w:r>
          </w:p>
        </w:tc>
        <w:tc>
          <w:tcPr>
            <w:tcW w:w="6192" w:type="dxa"/>
            <w:shd w:val="clear" w:color="auto" w:fill="FFFFFF"/>
            <w:tcMar>
              <w:top w:w="100" w:type="dxa"/>
              <w:left w:w="140" w:type="dxa"/>
              <w:bottom w:w="100" w:type="dxa"/>
              <w:right w:w="140" w:type="dxa"/>
            </w:tcMar>
          </w:tcPr>
          <w:p>
            <w:pPr>
              <w:rPr>
                <w:rFonts w:ascii="맑은 고딕" w:eastAsia="맑은 고딕" w:hAnsi="맑은 고딕" w:hint="default"/>
                <w:sz w:val="20"/>
                <w:szCs w:val="20"/>
              </w:rPr>
            </w:pPr>
            <w:r>
              <w:rPr>
                <w:rFonts w:ascii="맑은 고딕" w:eastAsia="맑은 고딕" w:hAnsi="맑은 고딕"/>
                <w:color w:val="334155"/>
                <w:sz w:val="20"/>
                <w:szCs w:val="20"/>
              </w:rPr>
              <w:t>[서비스 이용약관]   |   [개인정보 처리방침]   |   [환불 및 취소 규정]</w:t>
            </w:r>
          </w:p>
        </w:tc>
      </w:tr>
    </w:tbl>
    <w:p>
      <w:pPr>
        <w:spacing w:after="320"/>
        <w:rPr>
          <w:rFonts w:ascii="맑은 고딕" w:eastAsia="맑은 고딕" w:hAnsi="맑은 고딕" w:hint="default"/>
          <w:sz w:val="20"/>
          <w:szCs w:val="20"/>
        </w:rPr>
      </w:pPr>
    </w:p>
    <w:p>
      <w:pPr>
        <w:spacing w:after="0" w:before="280"/>
        <w:rPr>
          <w:rFonts w:ascii="맑은 고딕" w:eastAsia="맑은 고딕" w:hAnsi="맑은 고딕" w:hint="default"/>
          <w:sz w:val="20"/>
          <w:szCs w:val="20"/>
        </w:rPr>
      </w:pPr>
      <w:r>
        <w:rPr>
          <w:rFonts w:ascii="맑은 고딕" w:eastAsia="맑은 고딕" w:hAnsi="맑은 고딕"/>
          <w:i/>
          <w:color w:val="64748B"/>
          <w:sz w:val="20"/>
          <w:szCs w:val="20"/>
        </w:rPr>
        <w:t>※ 본 문서는 스포츠 데이터 분석 서비스 특유의 면책 및 라이선스 조항을 반영한 표준 운영 초안이며, 실제 결제 모듈 연동 및 정식 계약 체결 전 사내 법무팀 또는 법률 자문가의 최종 검토를 권장합니다.</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 w:name="Inter">
    <w:notTrueType w:val="false"/>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376092"/>
      <w:sz w:val="28"/>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0"/>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Id w:val="1"/>
      </w:numPr>
    </w:pPr>
  </w:style>
  <w:style w:type="paragraph" w:customStyle="1" w:styleId="ListBullet2">
    <w:name w:val="List Bullet 2"/>
    <w:uiPriority w:val="99"/>
    <w:basedOn w:val="Normal"/>
    <w:unhideWhenUsed/>
    <w:pPr>
      <w:contextualSpacing/>
      <w:numPr>
        <w:ilvl w:val="0"/>
        <w:numId w:val="2"/>
      </w:numPr>
    </w:pPr>
  </w:style>
  <w:style w:type="paragraph" w:customStyle="1" w:styleId="ListBullet3">
    <w:name w:val="List Bullet 3"/>
    <w:uiPriority w:val="99"/>
    <w:basedOn w:val="Normal"/>
    <w:unhideWhenUsed/>
    <w:pPr>
      <w:contextualSpacing/>
      <w:numPr>
        <w:ilvl w:val="0"/>
        <w:numId w:val="3"/>
      </w:numPr>
    </w:pPr>
  </w:style>
  <w:style w:type="paragraph" w:customStyle="1" w:styleId="ListNumber">
    <w:name w:val="List Number"/>
    <w:uiPriority w:val="99"/>
    <w:basedOn w:val="Normal"/>
    <w:unhideWhenUsed/>
    <w:pPr>
      <w:contextualSpacing/>
      <w:numPr>
        <w:ilvl w:val="0"/>
        <w:numId w:val="4"/>
      </w:numPr>
    </w:p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1</cp:revision>
  <dcterms:created xsi:type="dcterms:W3CDTF">2013-12-23T23:15:00Z</dcterms:created>
  <dcterms:modified xsi:type="dcterms:W3CDTF">2026-10-26T14:55:12Z</dcterms:modified>
  <cp:version>1000.0100.01</cp:version>
</cp:coreProperties>
</file>