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and</w:t>
      </w:r>
      <w:r>
        <w:t xml:space="preserve"> </w:t>
      </w:r>
      <w:r>
        <w:t xml:space="preserve">temporal</w:t>
      </w:r>
      <w:r>
        <w:t xml:space="preserve"> </w:t>
      </w:r>
      <w:r>
        <w:t xml:space="preserve">variability</w:t>
      </w:r>
      <w:r>
        <w:t xml:space="preserve"> </w:t>
      </w:r>
      <w:r>
        <w:t xml:space="preserve">in</w:t>
      </w:r>
      <w:r>
        <w:t xml:space="preserve"> </w:t>
      </w:r>
      <w:r>
        <w:t xml:space="preserve">economic</w:t>
      </w:r>
      <w:r>
        <w:t xml:space="preserve"> </w:t>
      </w:r>
      <w:r>
        <w:t xml:space="preserve">availability</w:t>
      </w:r>
      <w:r>
        <w:t xml:space="preserve"> </w:t>
      </w:r>
      <w:r>
        <w:t xml:space="preserve">of</w:t>
      </w:r>
      <w:r>
        <w:t xml:space="preserve"> </w:t>
      </w:r>
      <w:r>
        <w:t xml:space="preserve">residual</w:t>
      </w:r>
      <w:r>
        <w:t xml:space="preserve"> </w:t>
      </w:r>
      <w:r>
        <w:t xml:space="preserve">biomass</w:t>
      </w:r>
      <w:r>
        <w:t xml:space="preserve"> </w:t>
      </w:r>
      <w:r>
        <w:t xml:space="preserve">from</w:t>
      </w:r>
      <w:r>
        <w:t xml:space="preserve"> </w:t>
      </w:r>
      <w:r>
        <w:t xml:space="preserve">timber</w:t>
      </w:r>
      <w:r>
        <w:t xml:space="preserve"> </w:t>
      </w:r>
      <w:r>
        <w:t xml:space="preserve">harvest</w:t>
      </w:r>
      <w:r>
        <w:t xml:space="preserve"> </w:t>
      </w:r>
      <w:r>
        <w:t xml:space="preserve">in</w:t>
      </w:r>
      <w:r>
        <w:t xml:space="preserve"> </w:t>
      </w:r>
      <w:r>
        <w:t xml:space="preserve">west-central</w:t>
      </w:r>
      <w:r>
        <w:t xml:space="preserve"> </w:t>
      </w:r>
      <w:r>
        <w:t xml:space="preserve">Alberta,</w:t>
      </w:r>
      <w:r>
        <w:t xml:space="preserve"> </w:t>
      </w:r>
      <w:r>
        <w:t xml:space="preserve">Canada</w:t>
      </w:r>
      <w:r>
        <w:t xml:space="preserve"> </w:t>
      </w:r>
      <w:r>
        <w:t xml:space="preserve">(1990–2015)</w:t>
      </w:r>
    </w:p>
    <w:p>
      <w:pPr>
        <w:pStyle w:val="Date"/>
      </w:pPr>
      <w:r>
        <w:t xml:space="preserve">2021-11-18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Focus on cost variability associated with transportation and forest characteristics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Based on historical harvest locations (1990-2015)</w:t>
      </w:r>
    </w:p>
    <w:p>
      <w:pPr>
        <w:pStyle w:val="FirstParagraph"/>
      </w:pPr>
      <w:r>
        <w:t xml:space="preserve">Need to reference Yemshanov</w:t>
      </w:r>
      <w:r>
        <w:t xml:space="preserve"> </w:t>
      </w:r>
      <w:r>
        <w:t xml:space="preserve">@Yemshanov2014</w:t>
      </w:r>
      <w:r>
        <w:t xml:space="preserve"> </w:t>
      </w:r>
      <w:r>
        <w:t xml:space="preserve">and Blackburn</w:t>
      </w:r>
      <w:r>
        <w:t xml:space="preserve"> </w:t>
      </w:r>
      <w:r>
        <w:t xml:space="preserve">@Blackburn2020a</w:t>
      </w:r>
      <w:r>
        <w:t xml:space="preserve">. Our</w:t>
      </w:r>
      <w:r>
        <w:t xml:space="preserve"> </w:t>
      </w:r>
      <w:r>
        <w:t xml:space="preserve">strengths</w:t>
      </w:r>
    </w:p>
    <w:p>
      <w:pPr>
        <w:numPr>
          <w:ilvl w:val="0"/>
          <w:numId w:val="1002"/>
        </w:numPr>
        <w:pStyle w:val="Compact"/>
      </w:pPr>
      <w:r>
        <w:t xml:space="preserve">Availability of data</w:t>
      </w:r>
    </w:p>
    <w:p>
      <w:pPr>
        <w:numPr>
          <w:ilvl w:val="0"/>
          <w:numId w:val="1002"/>
        </w:numPr>
        <w:pStyle w:val="Compact"/>
      </w:pPr>
      <w:r>
        <w:t xml:space="preserve">Temporal variability</w:t>
      </w:r>
    </w:p>
    <w:p>
      <w:pPr>
        <w:numPr>
          <w:ilvl w:val="0"/>
          <w:numId w:val="1002"/>
        </w:numPr>
        <w:pStyle w:val="Compact"/>
      </w:pPr>
      <w:r>
        <w:t xml:space="preserve">suitability for mid-level analysis</w:t>
      </w:r>
    </w:p>
    <w:p>
      <w:pPr>
        <w:numPr>
          <w:ilvl w:val="0"/>
          <w:numId w:val="1002"/>
        </w:numPr>
        <w:pStyle w:val="Compact"/>
      </w:pPr>
      <w:r>
        <w:t xml:space="preserve">ultra-cool graphics</w:t>
      </w:r>
    </w:p>
    <w:bookmarkStart w:id="20" w:name="justification"/>
    <w:p>
      <w:pPr>
        <w:pStyle w:val="Heading2"/>
      </w:pPr>
      <w:r>
        <w:t xml:space="preserve">Justification</w:t>
      </w:r>
    </w:p>
    <w:p>
      <w:pPr>
        <w:numPr>
          <w:ilvl w:val="0"/>
          <w:numId w:val="1003"/>
        </w:numPr>
        <w:pStyle w:val="Compact"/>
      </w:pPr>
      <w:r>
        <w:t xml:space="preserve">renewable fuels better than fossil fuels</w:t>
      </w:r>
    </w:p>
    <w:p>
      <w:pPr>
        <w:numPr>
          <w:ilvl w:val="0"/>
          <w:numId w:val="1003"/>
        </w:numPr>
        <w:pStyle w:val="Compact"/>
      </w:pPr>
      <w:r>
        <w:t xml:space="preserve">forest harvest residue just piled and burned</w:t>
      </w:r>
    </w:p>
    <w:p>
      <w:pPr>
        <w:numPr>
          <w:ilvl w:val="0"/>
          <w:numId w:val="1003"/>
        </w:numPr>
        <w:pStyle w:val="Compact"/>
      </w:pPr>
      <w:r>
        <w:t xml:space="preserve">forest road networks in Alberta radiate from location</w:t>
      </w:r>
    </w:p>
    <w:p>
      <w:pPr>
        <w:numPr>
          <w:ilvl w:val="0"/>
          <w:numId w:val="1003"/>
        </w:numPr>
        <w:pStyle w:val="Compact"/>
      </w:pPr>
      <w:r>
        <w:t xml:space="preserve">terrain is difficult</w:t>
      </w:r>
    </w:p>
    <w:p>
      <w:pPr>
        <w:numPr>
          <w:ilvl w:val="0"/>
          <w:numId w:val="1003"/>
        </w:numPr>
        <w:pStyle w:val="Compact"/>
      </w:pPr>
      <w:r>
        <w:t xml:space="preserve">simple circle or doughnut models of limited utility</w:t>
      </w:r>
      <w:r>
        <w:t xml:space="preserve"> </w:t>
      </w:r>
      <w:r>
        <w:t xml:space="preserve">`</w:t>
      </w:r>
    </w:p>
    <w:bookmarkEnd w:id="20"/>
    <w:bookmarkEnd w:id="21"/>
    <w:bookmarkStart w:id="31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We describe here our study area, data sources, and method.</w:t>
      </w:r>
    </w:p>
    <w:bookmarkStart w:id="22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We use the province of Alberta in western Canada as our study area.</w:t>
      </w:r>
      <w:r>
        <w:t xml:space="preserve"> </w:t>
      </w:r>
      <w:r>
        <w:t xml:space="preserve">It occupies 661 848 km</w:t>
      </w:r>
      <w:r>
        <w:rPr>
          <w:vertAlign w:val="superscript"/>
        </w:rPr>
        <w:t xml:space="preserve">2</w:t>
      </w:r>
      <w:r>
        <w:t xml:space="preserve">. Its southern boundary is 49°N latitude,</w:t>
      </w:r>
      <w:r>
        <w:t xml:space="preserve"> </w:t>
      </w:r>
      <w:r>
        <w:t xml:space="preserve">northern boundary is 60°N latitude, eastern boundary is 110°W</w:t>
      </w:r>
      <w:r>
        <w:t xml:space="preserve"> </w:t>
      </w:r>
      <w:r>
        <w:t xml:space="preserve">longitude, and its western boundary is defined by 120°W longitude and</w:t>
      </w:r>
      <w:r>
        <w:t xml:space="preserve"> </w:t>
      </w:r>
      <w:r>
        <w:t xml:space="preserve">the Great Divide of the Rocky Mountains (Figure 1).</w:t>
      </w:r>
    </w:p>
    <w:p>
      <w:pPr>
        <w:pStyle w:val="BodyText"/>
      </w:pPr>
      <w:r>
        <w:t xml:space="preserve">The southeastern part of the province is largely privately owned</w:t>
      </w:r>
      <w:r>
        <w:t xml:space="preserve"> </w:t>
      </w:r>
      <w:r>
        <w:t xml:space="preserve">agricultural land, but the northern and western parts are largely</w:t>
      </w:r>
      <w:r>
        <w:t xml:space="preserve"> </w:t>
      </w:r>
      <w:r>
        <w:t xml:space="preserve">publicly owned forested land. There is a substantial area of</w:t>
      </w:r>
      <w:r>
        <w:t xml:space="preserve"> </w:t>
      </w:r>
      <w:r>
        <w:t xml:space="preserve">privately owned agricultural land in the Peace River Country of</w:t>
      </w:r>
      <w:r>
        <w:t xml:space="preserve"> </w:t>
      </w:r>
      <w:r>
        <w:t xml:space="preserve">northwestern Alberta. There are also substantial areas in National</w:t>
      </w:r>
      <w:r>
        <w:t xml:space="preserve"> </w:t>
      </w:r>
      <w:r>
        <w:t xml:space="preserve">Parks along the Rocky Mountains and in the far north of the province.</w:t>
      </w:r>
      <w:r>
        <w:t xml:space="preserve"> </w:t>
      </w:r>
      <w:r>
        <w:t xml:space="preserve">The province calls the area of mostly publicly owned forested land</w:t>
      </w:r>
      <w:r>
        <w:t xml:space="preserve"> </w:t>
      </w:r>
      <w:r>
        <w:t xml:space="preserve">(excluding those National Parks) as the Green Area, and the area of</w:t>
      </w:r>
      <w:r>
        <w:t xml:space="preserve"> </w:t>
      </w:r>
      <w:r>
        <w:t xml:space="preserve">mostly privately owned agricultural land as the White Area. About 90%</w:t>
      </w:r>
      <w:r>
        <w:t xml:space="preserve"> </w:t>
      </w:r>
      <w:r>
        <w:t xml:space="preserve">of the harvested timber volume in Alberta comes from the Green Area.</w:t>
      </w:r>
    </w:p>
    <w:p>
      <w:pPr>
        <w:pStyle w:val="BodyText"/>
      </w:pPr>
      <w:r>
        <w:t xml:space="preserve">For administrative purposes, the Green Area is divided into Forest</w:t>
      </w:r>
      <w:r>
        <w:t xml:space="preserve"> </w:t>
      </w:r>
      <w:r>
        <w:t xml:space="preserve">Management Units (FMUs). The province also enters into long term</w:t>
      </w:r>
      <w:r>
        <w:t xml:space="preserve"> </w:t>
      </w:r>
      <w:r>
        <w:t xml:space="preserve">agreements with forest products companies giving the companies the</w:t>
      </w:r>
      <w:r>
        <w:t xml:space="preserve"> </w:t>
      </w:r>
      <w:r>
        <w:t xml:space="preserve">rights to timber harvest and the responsibility to manage the forest</w:t>
      </w:r>
      <w:r>
        <w:t xml:space="preserve"> </w:t>
      </w:r>
      <w:r>
        <w:t xml:space="preserve">sustainably. These agreements are called Forest Management</w:t>
      </w:r>
      <w:r>
        <w:t xml:space="preserve"> </w:t>
      </w:r>
      <w:r>
        <w:t xml:space="preserve">Agreements, and the areas under agreement are called Forest Management</w:t>
      </w:r>
      <w:r>
        <w:t xml:space="preserve"> </w:t>
      </w:r>
      <w:r>
        <w:t xml:space="preserve">Agreement Areas (FMAAs). For the most part, the boundaries of the</w:t>
      </w:r>
      <w:r>
        <w:t xml:space="preserve"> </w:t>
      </w:r>
      <w:r>
        <w:t xml:space="preserve">FMAAs are now coincident with FMU boundaries, with the exception of</w:t>
      </w:r>
      <w:r>
        <w:t xml:space="preserve"> </w:t>
      </w:r>
      <w:r>
        <w:t xml:space="preserve">the Alberta-Pacific FMAA in eastern Alberta comprises 12 FMUs. Maps</w:t>
      </w:r>
      <w:r>
        <w:t xml:space="preserve"> </w:t>
      </w:r>
      <w:r>
        <w:t xml:space="preserve">of the FMUs</w:t>
      </w:r>
      <w:r>
        <w:t xml:space="preserve"> </w:t>
      </w:r>
      <w:r>
        <w:t xml:space="preserve">@AlbertaFMU</w:t>
      </w:r>
      <w:r>
        <w:t xml:space="preserve"> </w:t>
      </w:r>
      <w:r>
        <w:t xml:space="preserve">and the FMAAs</w:t>
      </w:r>
      <w:r>
        <w:t xml:space="preserve"> </w:t>
      </w:r>
      <w:r>
        <w:t xml:space="preserve">@AlbertaFMA</w:t>
      </w:r>
      <w:r>
        <w:t xml:space="preserve"> </w:t>
      </w:r>
      <w:r>
        <w:t xml:space="preserve">can be found on the</w:t>
      </w:r>
      <w:r>
        <w:t xml:space="preserve"> </w:t>
      </w:r>
      <w:r>
        <w:t xml:space="preserve">Government of Alberta website. The FMU and FMAA boundaries are</w:t>
      </w:r>
      <w:r>
        <w:t xml:space="preserve"> </w:t>
      </w:r>
      <w:r>
        <w:t xml:space="preserve">important to this study as they are used to look up average piece size</w:t>
      </w:r>
      <w:r>
        <w:t xml:space="preserve"> </w:t>
      </w:r>
      <w:r>
        <w:t xml:space="preserve">and utilization standards. We discuss piece sizes and utilization</w:t>
      </w:r>
      <w:r>
        <w:t xml:space="preserve"> </w:t>
      </w:r>
      <w:r>
        <w:t xml:space="preserve">standards later.</w:t>
      </w:r>
    </w:p>
    <w:p>
      <w:pPr>
        <w:pStyle w:val="BodyText"/>
      </w:pPr>
      <w:r>
        <w:t xml:space="preserve">Our focus for this study is the forest near Hinton, Edson, and</w:t>
      </w:r>
      <w:r>
        <w:t xml:space="preserve"> </w:t>
      </w:r>
      <w:r>
        <w:t xml:space="preserve">Whitecourt in west-central Alberta. These towns were chosen as they</w:t>
      </w:r>
      <w:r>
        <w:t xml:space="preserve"> </w:t>
      </w:r>
      <w:r>
        <w:t xml:space="preserve">host several forest products companies and are located near several</w:t>
      </w:r>
      <w:r>
        <w:t xml:space="preserve"> </w:t>
      </w:r>
      <w:r>
        <w:t xml:space="preserve">active FMAAs. We assume that a residual forest biomass processing</w:t>
      </w:r>
      <w:r>
        <w:t xml:space="preserve"> </w:t>
      </w:r>
      <w:r>
        <w:t xml:space="preserve">plant would be located near an existing forest products mill as the</w:t>
      </w:r>
      <w:r>
        <w:t xml:space="preserve"> </w:t>
      </w:r>
      <w:r>
        <w:t xml:space="preserve">forest road network has been developed to supply those mills. Locating</w:t>
      </w:r>
      <w:r>
        <w:t xml:space="preserve"> </w:t>
      </w:r>
      <w:r>
        <w:t xml:space="preserve">a forest residue processing plant near a forest products mill would</w:t>
      </w:r>
      <w:r>
        <w:t xml:space="preserve"> </w:t>
      </w:r>
      <w:r>
        <w:t xml:space="preserve">also allow for convenient access to mill residues.</w:t>
      </w:r>
    </w:p>
    <w:p>
      <w:pPr>
        <w:pStyle w:val="BodyText"/>
      </w:pPr>
      <w:r>
        <w:t xml:space="preserve">The FMAAs which supply most of the timber to mills near our</w:t>
      </w:r>
      <w:r>
        <w:t xml:space="preserve"> </w:t>
      </w:r>
      <w:r>
        <w:t xml:space="preserve">three locations are West Fraser Mills Ltd. (Hinton), West Fraser Mills</w:t>
      </w:r>
      <w:r>
        <w:t xml:space="preserve"> </w:t>
      </w:r>
      <w:r>
        <w:t xml:space="preserve">Ltd. (Edson), Weyerhaeuser Company Limited (Pembina Timberlands),</w:t>
      </w:r>
      <w:r>
        <w:t xml:space="preserve"> </w:t>
      </w:r>
      <w:r>
        <w:t xml:space="preserve">Millar Western, Blue Ridge Lumber Inc., and ANC Timber Ltd.</w:t>
      </w:r>
    </w:p>
    <w:p>
      <w:pPr>
        <w:pStyle w:val="BodyText"/>
      </w:pPr>
      <w:r>
        <w:t xml:space="preserve">We used the Weyerhaeuser oriented</w:t>
      </w:r>
      <w:r>
        <w:t xml:space="preserve"> </w:t>
      </w:r>
      <w:r>
        <w:t xml:space="preserve">strand board plant in Edson, the Millar Western Forest Products</w:t>
      </w:r>
      <w:r>
        <w:t xml:space="preserve"> </w:t>
      </w:r>
      <w:r>
        <w:t xml:space="preserve">Ltd. pulp mill in Whitecourt, and the West Fraser pulp mill in Hinton</w:t>
      </w:r>
      <w:r>
        <w:t xml:space="preserve"> </w:t>
      </w:r>
      <w:r>
        <w:t xml:space="preserve">as the locations for the hypothetical forest residue processing</w:t>
      </w:r>
      <w:r>
        <w:t xml:space="preserve"> </w:t>
      </w:r>
      <w:r>
        <w:t xml:space="preserve">facilities.</w:t>
      </w:r>
    </w:p>
    <w:p>
      <w:pPr>
        <w:pStyle w:val="BodyText"/>
      </w:pPr>
      <w:r>
        <w:t xml:space="preserve">As well as considering locations for the hypothetical plants, we</w:t>
      </w:r>
      <w:r>
        <w:t xml:space="preserve"> </w:t>
      </w:r>
      <w:r>
        <w:t xml:space="preserve">considered 3 different plant capacities defined by annual biomass</w:t>
      </w:r>
      <w:r>
        <w:t xml:space="preserve"> </w:t>
      </w:r>
      <w:r>
        <w:t xml:space="preserve">requirements: 200 Gg/a corresponding to a small wood pellet mill, 400</w:t>
      </w:r>
      <w:r>
        <w:t xml:space="preserve"> </w:t>
      </w:r>
      <w:r>
        <w:t xml:space="preserve">Gg/a corresponding to a large pellet mill or a small ethanol plant,</w:t>
      </w:r>
      <w:r>
        <w:t xml:space="preserve"> </w:t>
      </w:r>
      <w:r>
        <w:t xml:space="preserve">and 800 Gg/a corresponding to a large ethanol plant.</w:t>
      </w:r>
    </w:p>
    <w:bookmarkEnd w:id="22"/>
    <w:bookmarkStart w:id="30" w:name="data-sources"/>
    <w:p>
      <w:pPr>
        <w:pStyle w:val="Heading2"/>
      </w:pPr>
      <w:r>
        <w:t xml:space="preserve">Data sources</w:t>
      </w:r>
    </w:p>
    <w:p>
      <w:pPr>
        <w:pStyle w:val="FirstParagraph"/>
      </w:pPr>
      <w:r>
        <w:t xml:space="preserve">We used a number of publicly available datasets to create the</w:t>
      </w:r>
      <w:r>
        <w:t xml:space="preserve"> </w:t>
      </w:r>
      <w:r>
        <w:t xml:space="preserve">township-level summary data used in our analysis. Most of the data</w:t>
      </w:r>
      <w:r>
        <w:t xml:space="preserve"> </w:t>
      </w:r>
      <w:r>
        <w:t xml:space="preserve">are freely available on the World Wide Web (WWW). Much of the data</w:t>
      </w:r>
      <w:r>
        <w:t xml:space="preserve"> </w:t>
      </w:r>
      <w:r>
        <w:t xml:space="preserve">processing required for this study was manipulation of spatial data.</w:t>
      </w:r>
      <w:r>
        <w:t xml:space="preserve"> </w:t>
      </w:r>
      <w:r>
        <w:t xml:space="preserve">This was done using the QGIS geographic information system software</w:t>
      </w:r>
      <w:r>
        <w:t xml:space="preserve"> </w:t>
      </w:r>
      <w:r>
        <w:t xml:space="preserve">@QGISorg2021</w:t>
      </w:r>
      <w:r>
        <w:t xml:space="preserve"> </w:t>
      </w:r>
      <w:r>
        <w:t xml:space="preserve">and add-ons. All national level data were clipped to the</w:t>
      </w:r>
      <w:r>
        <w:t xml:space="preserve"> </w:t>
      </w:r>
      <w:r>
        <w:t xml:space="preserve">Alberta provincial boundary for further analysis.</w:t>
      </w:r>
    </w:p>
    <w:p>
      <w:pPr>
        <w:pStyle w:val="BodyText"/>
      </w:pPr>
      <w:r>
        <w:t xml:space="preserve">The datasets are introduced here. Their use will be discussed</w:t>
      </w:r>
      <w:r>
        <w:t xml:space="preserve"> </w:t>
      </w:r>
      <w:r>
        <w:t xml:space="preserve">in detail later.</w:t>
      </w:r>
    </w:p>
    <w:bookmarkStart w:id="23" w:name="altalis"/>
    <w:p>
      <w:pPr>
        <w:pStyle w:val="Heading3"/>
      </w:pPr>
      <w:r>
        <w:t xml:space="preserve">Altalis</w:t>
      </w:r>
    </w:p>
    <w:p>
      <w:pPr>
        <w:pStyle w:val="FirstParagraph"/>
      </w:pPr>
      <w:r>
        <w:t xml:space="preserve">Altalis manages much of the spatial data created by or for the</w:t>
      </w:r>
      <w:r>
        <w:t xml:space="preserve"> </w:t>
      </w:r>
      <w:r>
        <w:t xml:space="preserve">Government of Alberta. We use several coverages from their base</w:t>
      </w:r>
      <w:r>
        <w:t xml:space="preserve"> </w:t>
      </w:r>
      <w:r>
        <w:t xml:space="preserve">features database product</w:t>
      </w:r>
      <w:r>
        <w:t xml:space="preserve"> </w:t>
      </w:r>
      <w:r>
        <w:t xml:space="preserve">@Altalis2021</w:t>
      </w:r>
      <w:r>
        <w:t xml:space="preserve">: the provincial, Green/White</w:t>
      </w:r>
      <w:r>
        <w:t xml:space="preserve"> </w:t>
      </w:r>
      <w:r>
        <w:t xml:space="preserve">area, forest management unit (FMU), forest management agreement area</w:t>
      </w:r>
      <w:r>
        <w:t xml:space="preserve"> </w:t>
      </w:r>
      <w:r>
        <w:t xml:space="preserve">(FMAA), Alberta Township Survey System township, and town boundaries.</w:t>
      </w:r>
    </w:p>
    <w:p>
      <w:pPr>
        <w:pStyle w:val="BodyText"/>
      </w:pPr>
      <w:r>
        <w:t xml:space="preserve">The Alberta Township Survey System (ATS) is particularly important to</w:t>
      </w:r>
      <w:r>
        <w:t xml:space="preserve"> </w:t>
      </w:r>
      <w:r>
        <w:t xml:space="preserve">this study as all the data used for this study are aggregated or</w:t>
      </w:r>
      <w:r>
        <w:t xml:space="preserve"> </w:t>
      </w:r>
      <w:r>
        <w:t xml:space="preserve">disaggregated to the township level. ATS provides the basis for legal</w:t>
      </w:r>
      <w:r>
        <w:t xml:space="preserve"> </w:t>
      </w:r>
      <w:r>
        <w:t xml:space="preserve">land descriptions in Alberta. The typical township is roughly square</w:t>
      </w:r>
      <w:r>
        <w:t xml:space="preserve"> </w:t>
      </w:r>
      <w:r>
        <w:t xml:space="preserve">(9.778 km by 9.716 km, 9 500 ha) and is indexed by township (1–126),</w:t>
      </w:r>
      <w:r>
        <w:t xml:space="preserve"> </w:t>
      </w:r>
      <w:r>
        <w:t xml:space="preserve">range (1–30), and meridian (4–6). The townships immediately</w:t>
      </w:r>
      <w:r>
        <w:t xml:space="preserve"> </w:t>
      </w:r>
      <w:r>
        <w:t xml:space="preserve">east of Alberta’s western boundary, and immediately east of the 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and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meridians (corresponding to 114°W and 118°W longitude,</w:t>
      </w:r>
      <w:r>
        <w:t xml:space="preserve"> </w:t>
      </w:r>
      <w:r>
        <w:t xml:space="preserve">respectively) are partial townships and therefore deviate from the</w:t>
      </w:r>
      <w:r>
        <w:t xml:space="preserve"> </w:t>
      </w:r>
      <w:r>
        <w:t xml:space="preserve">roughly square shape. ATS is described in detail by the Alberta Land</w:t>
      </w:r>
      <w:r>
        <w:t xml:space="preserve"> </w:t>
      </w:r>
      <w:r>
        <w:t xml:space="preserve">Surveyor’s Association</w:t>
      </w:r>
      <w:r>
        <w:t xml:space="preserve"> </w:t>
      </w:r>
      <w:r>
        <w:t xml:space="preserve">@ALSA2021</w:t>
      </w:r>
      <w:r>
        <w:t xml:space="preserve">. There are 7 237 townships in</w:t>
      </w:r>
      <w:r>
        <w:t xml:space="preserve"> </w:t>
      </w:r>
      <w:r>
        <w:t xml:space="preserve">Alberta, allowing for spatial resolution appropriate for regional or</w:t>
      </w:r>
      <w:r>
        <w:t xml:space="preserve"> </w:t>
      </w:r>
      <w:r>
        <w:t xml:space="preserve">provincial level analyses.</w:t>
      </w:r>
    </w:p>
    <w:bookmarkEnd w:id="23"/>
    <w:bookmarkStart w:id="24" w:name="alberta-geospatial-services"/>
    <w:p>
      <w:pPr>
        <w:pStyle w:val="Heading3"/>
      </w:pPr>
      <w:r>
        <w:t xml:space="preserve">Alberta Geospatial Services</w:t>
      </w:r>
    </w:p>
    <w:p>
      <w:pPr>
        <w:pStyle w:val="FirstParagraph"/>
      </w:pPr>
      <w:r>
        <w:t xml:space="preserve">Alberta Geospatial Services is operated by the Alberta Ministry of</w:t>
      </w:r>
      <w:r>
        <w:t xml:space="preserve"> </w:t>
      </w:r>
      <w:r>
        <w:t xml:space="preserve">Environment and Parks</w:t>
      </w:r>
      <w:r>
        <w:t xml:space="preserve"> </w:t>
      </w:r>
      <w:r>
        <w:t xml:space="preserve">@Alberta2021a</w:t>
      </w:r>
      <w:r>
        <w:t xml:space="preserve">. We obtained road access</w:t>
      </w:r>
      <w:r>
        <w:t xml:space="preserve"> </w:t>
      </w:r>
      <w:r>
        <w:t xml:space="preserve">coverages from here. A road access coverage is also available from</w:t>
      </w:r>
      <w:r>
        <w:t xml:space="preserve"> </w:t>
      </w:r>
      <w:r>
        <w:t xml:space="preserve">Altalis but it does not have as detailed information on road class.</w:t>
      </w:r>
    </w:p>
    <w:bookmarkEnd w:id="24"/>
    <w:bookmarkStart w:id="25" w:name="national-forest-information-system"/>
    <w:p>
      <w:pPr>
        <w:pStyle w:val="Heading3"/>
      </w:pPr>
      <w:r>
        <w:t xml:space="preserve">National Forest Information System</w:t>
      </w:r>
    </w:p>
    <w:p>
      <w:pPr>
        <w:pStyle w:val="FirstParagraph"/>
      </w:pPr>
      <w:r>
        <w:t xml:space="preserve">The National Forest Information System (NFIS) provides a set</w:t>
      </w:r>
      <w:r>
        <w:t xml:space="preserve"> </w:t>
      </w:r>
      <w:r>
        <w:t xml:space="preserve">of spatial data layers representing forest properties at a 250 m</w:t>
      </w:r>
      <w:r>
        <w:t xml:space="preserve"> </w:t>
      </w:r>
      <w:r>
        <w:t xml:space="preserve">resolution for all of Canada</w:t>
      </w:r>
      <w:r>
        <w:t xml:space="preserve"> </w:t>
      </w:r>
      <w:r>
        <w:t xml:space="preserve">@Beaudoin2017</w:t>
      </w:r>
      <w:r>
        <w:t xml:space="preserve">. We used the merchantable</w:t>
      </w:r>
      <w:r>
        <w:t xml:space="preserve"> </w:t>
      </w:r>
      <w:r>
        <w:t xml:space="preserve">volume, stand age, and species composition attributes from these</w:t>
      </w:r>
      <w:r>
        <w:t xml:space="preserve"> </w:t>
      </w:r>
      <w:r>
        <w:t xml:space="preserve">data layers.</w:t>
      </w:r>
    </w:p>
    <w:p>
      <w:pPr>
        <w:pStyle w:val="BodyText"/>
      </w:pPr>
      <w:r>
        <w:t xml:space="preserve">Another product of NFIS is a set of spatial datasets derived from</w:t>
      </w:r>
      <w:r>
        <w:t xml:space="preserve"> </w:t>
      </w:r>
      <w:r>
        <w:t xml:space="preserve">satellite data</w:t>
      </w:r>
      <w:r>
        <w:t xml:space="preserve"> </w:t>
      </w:r>
      <w:r>
        <w:t xml:space="preserve">@NFIS2021b</w:t>
      </w:r>
      <w:r>
        <w:t xml:space="preserve">. The dataset used for this study is the</w:t>
      </w:r>
      <w:r>
        <w:t xml:space="preserve"> </w:t>
      </w:r>
      <w:r>
        <w:t xml:space="preserve">harvest year data set for the years 1985-2015. The dataset is</w:t>
      </w:r>
      <w:r>
        <w:t xml:space="preserve"> </w:t>
      </w:r>
      <w:r>
        <w:t xml:space="preserve">described in detail by Hermosilla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@Hermosilla2016</w:t>
      </w:r>
      <w:r>
        <w:t xml:space="preserve">. It</w:t>
      </w:r>
      <w:r>
        <w:t xml:space="preserve"> </w:t>
      </w:r>
      <w:r>
        <w:t xml:space="preserve">consists of a raster for Canada at 30 m resolution indicating the year</w:t>
      </w:r>
      <w:r>
        <w:t xml:space="preserve"> </w:t>
      </w:r>
      <w:r>
        <w:t xml:space="preserve">of harvest for each cell.</w:t>
      </w:r>
    </w:p>
    <w:p>
      <w:pPr>
        <w:pStyle w:val="BodyText"/>
      </w:pPr>
      <w:r>
        <w:t xml:space="preserve">The NFIS also provides a web-based individual tree biomass calculator</w:t>
      </w:r>
      <w:r>
        <w:t xml:space="preserve"> </w:t>
      </w:r>
      <w:r>
        <w:t xml:space="preserve">@NFIS2021</w:t>
      </w:r>
      <w:r>
        <w:t xml:space="preserve">. It is used to calculate stem wood, stem bark, branch, and</w:t>
      </w:r>
      <w:r>
        <w:t xml:space="preserve"> </w:t>
      </w:r>
      <w:r>
        <w:t xml:space="preserve">foliage biomass for a tree based on province, ecozone, species,</w:t>
      </w:r>
      <w:r>
        <w:t xml:space="preserve"> </w:t>
      </w:r>
      <w:r>
        <w:t xml:space="preserve">diameter at breast height (DBH) and height. It is possible to upload</w:t>
      </w:r>
      <w:r>
        <w:t xml:space="preserve"> </w:t>
      </w:r>
      <w:r>
        <w:t xml:space="preserve">a file representing many trees with different combinations of these</w:t>
      </w:r>
      <w:r>
        <w:t xml:space="preserve"> </w:t>
      </w:r>
      <w:r>
        <w:t xml:space="preserve">input parameters and download a file containing the calculated results</w:t>
      </w:r>
      <w:r>
        <w:t xml:space="preserve"> </w:t>
      </w:r>
      <w:r>
        <w:t xml:space="preserve">for all the trees.</w:t>
      </w:r>
    </w:p>
    <w:bookmarkEnd w:id="25"/>
    <w:bookmarkStart w:id="26" w:name="natural-resources-canada"/>
    <w:p>
      <w:pPr>
        <w:pStyle w:val="Heading3"/>
      </w:pPr>
      <w:r>
        <w:t xml:space="preserve">Natural Resources Canada</w:t>
      </w:r>
    </w:p>
    <w:p>
      <w:pPr>
        <w:pStyle w:val="FirstParagraph"/>
      </w:pPr>
      <w:r>
        <w:t xml:space="preserve">Ung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@Ung2013</w:t>
      </w:r>
      <w:r>
        <w:t xml:space="preserve"> </w:t>
      </w:r>
      <w:r>
        <w:t xml:space="preserve">describe the tree taper models</w:t>
      </w:r>
      <w:r>
        <w:t xml:space="preserve"> </w:t>
      </w:r>
      <w:r>
        <w:t xml:space="preserve">developed for Canada. A valuable contribution related to this is the WWW-based</w:t>
      </w:r>
      <w:r>
        <w:t xml:space="preserve"> </w:t>
      </w:r>
      <w:r>
        <w:t xml:space="preserve">wood volume calculator that uses those models</w:t>
      </w:r>
      <w:r>
        <w:t xml:space="preserve"> </w:t>
      </w:r>
      <w:r>
        <w:t xml:space="preserve">@NRCan2015</w:t>
      </w:r>
      <w:r>
        <w:t xml:space="preserve">. We use the</w:t>
      </w:r>
      <w:r>
        <w:t xml:space="preserve"> </w:t>
      </w:r>
      <w:r>
        <w:t xml:space="preserve">taper models developed by Ung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to calculate merchantable</w:t>
      </w:r>
      <w:r>
        <w:t xml:space="preserve"> </w:t>
      </w:r>
      <w:r>
        <w:t xml:space="preserve">volumes and the amount of residual biomass available from cutblocks in</w:t>
      </w:r>
      <w:r>
        <w:t xml:space="preserve"> </w:t>
      </w:r>
      <w:r>
        <w:t xml:space="preserve">each of the townships in each year.</w:t>
      </w:r>
    </w:p>
    <w:bookmarkEnd w:id="26"/>
    <w:bookmarkStart w:id="27" w:name="national-forestry-database"/>
    <w:p>
      <w:pPr>
        <w:pStyle w:val="Heading3"/>
      </w:pPr>
      <w:r>
        <w:t xml:space="preserve">National Forestry Database</w:t>
      </w:r>
    </w:p>
    <w:p>
      <w:pPr>
        <w:pStyle w:val="FirstParagraph"/>
      </w:pPr>
      <w:r>
        <w:t xml:space="preserve">The national forestry database</w:t>
      </w:r>
      <w:r>
        <w:t xml:space="preserve"> </w:t>
      </w:r>
      <w:r>
        <w:t xml:space="preserve">@CCFM2021</w:t>
      </w:r>
      <w:r>
        <w:t xml:space="preserve"> </w:t>
      </w:r>
      <w:r>
        <w:t xml:space="preserve">was used to summarize the</w:t>
      </w:r>
      <w:r>
        <w:t xml:space="preserve"> </w:t>
      </w:r>
      <w:r>
        <w:t xml:space="preserve">timber harvest volume and harvest area from</w:t>
      </w:r>
      <w:r>
        <w:t xml:space="preserve"> </w:t>
      </w:r>
      <w:r>
        <w:t xml:space="preserve">Alberta for the years 1990-2015. This information is used to adjust the volumes</w:t>
      </w:r>
      <w:r>
        <w:t xml:space="preserve"> </w:t>
      </w:r>
      <w:r>
        <w:t xml:space="preserve">obtained from the 250 m resolution inventory to better reflect average harvest</w:t>
      </w:r>
      <w:r>
        <w:t xml:space="preserve"> </w:t>
      </w:r>
      <w:r>
        <w:t xml:space="preserve">volumes observed in Alberta.</w:t>
      </w:r>
    </w:p>
    <w:bookmarkEnd w:id="27"/>
    <w:bookmarkStart w:id="28" w:name="forest-management-plans"/>
    <w:p>
      <w:pPr>
        <w:pStyle w:val="Heading3"/>
      </w:pPr>
      <w:r>
        <w:t xml:space="preserve">Forest management plans</w:t>
      </w:r>
    </w:p>
    <w:p>
      <w:pPr>
        <w:pStyle w:val="FirstParagraph"/>
      </w:pPr>
      <w:r>
        <w:t xml:space="preserve">The Alberta government requires FMA holders to develop a forest management</w:t>
      </w:r>
      <w:r>
        <w:t xml:space="preserve"> </w:t>
      </w:r>
      <w:r>
        <w:t xml:space="preserve">plan for the FMAA.</w:t>
      </w:r>
      <w:r>
        <w:t xml:space="preserve"> </w:t>
      </w:r>
      <w:r>
        <w:t xml:space="preserve">The forest management plans were used to get information on utilization</w:t>
      </w:r>
      <w:r>
        <w:t xml:space="preserve"> </w:t>
      </w:r>
      <w:r>
        <w:t xml:space="preserve">standards and average piece size of harvested trees for the FMAA</w:t>
      </w:r>
      <w:r>
        <w:t xml:space="preserve"> </w:t>
      </w:r>
      <w:r>
        <w:t xml:space="preserve">@Alberta2021</w:t>
      </w:r>
      <w:r>
        <w:t xml:space="preserve">.</w:t>
      </w:r>
    </w:p>
    <w:bookmarkEnd w:id="28"/>
    <w:bookmarkStart w:id="29" w:name="agriculture-and-agri-food-canada"/>
    <w:p>
      <w:pPr>
        <w:pStyle w:val="Heading3"/>
      </w:pPr>
      <w:r>
        <w:t xml:space="preserve">Agriculture and Agri-Food Canada</w:t>
      </w:r>
    </w:p>
    <w:p>
      <w:pPr>
        <w:pStyle w:val="FirstParagraph"/>
      </w:pPr>
      <w:r>
        <w:t xml:space="preserve">The boundaries of Canada’s terrestrial ecozones can be found on</w:t>
      </w:r>
      <w:r>
        <w:t xml:space="preserve"> </w:t>
      </w:r>
      <w:r>
        <w:t xml:space="preserve">Agriculture and Agri-Food Canada’s website</w:t>
      </w:r>
      <w:r>
        <w:t xml:space="preserve"> </w:t>
      </w:r>
      <w:r>
        <w:t xml:space="preserve">@Canada2017</w:t>
      </w:r>
      <w:r>
        <w:t xml:space="preserve">. Ecozone is an</w:t>
      </w:r>
      <w:r>
        <w:t xml:space="preserve"> </w:t>
      </w:r>
      <w:r>
        <w:t xml:space="preserve">input to the individualt tree biomass calculator</w:t>
      </w:r>
      <w:r>
        <w:t xml:space="preserve"> </w:t>
      </w:r>
      <w:r>
        <w:t xml:space="preserve">@NFIS2021</w:t>
      </w:r>
      <w:r>
        <w:t xml:space="preserve">.</w:t>
      </w:r>
    </w:p>
    <w:bookmarkEnd w:id="29"/>
    <w:bookmarkEnd w:id="30"/>
    <w:bookmarkEnd w:id="31"/>
    <w:bookmarkStart w:id="44" w:name="data-aggregation-and-modeling"/>
    <w:p>
      <w:pPr>
        <w:pStyle w:val="Heading1"/>
      </w:pPr>
      <w:r>
        <w:t xml:space="preserve">Data aggregation and modeling</w:t>
      </w:r>
    </w:p>
    <w:p>
      <w:pPr>
        <w:pStyle w:val="FirstParagraph"/>
      </w:pPr>
      <w:r>
        <w:t xml:space="preserve">The GIS analysis for this paper was done using QGIS</w:t>
      </w:r>
      <w:r>
        <w:t xml:space="preserve"> </w:t>
      </w:r>
      <w:r>
        <w:t xml:space="preserve">@QGISorg2021</w:t>
      </w:r>
      <w:r>
        <w:t xml:space="preserve">.</w:t>
      </w:r>
      <w:r>
        <w:t xml:space="preserve"> </w:t>
      </w:r>
      <w:r>
        <w:t xml:space="preserve">Data summaries and statistical analysis were done using R</w:t>
      </w:r>
      <w:r>
        <w:t xml:space="preserve"> </w:t>
      </w:r>
      <w:r>
        <w:t xml:space="preserve">@R2021</w:t>
      </w:r>
      <w:r>
        <w:t xml:space="preserve"> </w:t>
      </w:r>
      <w:r>
        <w:t xml:space="preserve">with</w:t>
      </w:r>
      <w:r>
        <w:t xml:space="preserve"> </w:t>
      </w:r>
      <w:r>
        <w:t xml:space="preserve">RStudio</w:t>
      </w:r>
      <w:r>
        <w:t xml:space="preserve"> </w:t>
      </w:r>
      <w:r>
        <w:t xml:space="preserve">@RStudioTeam2021</w:t>
      </w:r>
      <w:r>
        <w:t xml:space="preserve">, and tidyverse</w:t>
      </w:r>
      <w:r>
        <w:t xml:space="preserve"> </w:t>
      </w:r>
      <w:r>
        <w:t xml:space="preserve">@Wickham2019</w:t>
      </w:r>
      <w:r>
        <w:t xml:space="preserve">.</w:t>
      </w:r>
    </w:p>
    <w:p>
      <w:pPr>
        <w:pStyle w:val="BodyText"/>
      </w:pPr>
      <w:r>
        <w:t xml:space="preserve">The primary objective of this paper was to quantify the spatial and</w:t>
      </w:r>
      <w:r>
        <w:t xml:space="preserve"> </w:t>
      </w:r>
      <w:r>
        <w:t xml:space="preserve">temporal variability of the costs associated with recovering the</w:t>
      </w:r>
      <w:r>
        <w:t xml:space="preserve"> </w:t>
      </w:r>
      <w:r>
        <w:t xml:space="preserve">residual biomass left on forest cutblocks following timber harvest. A</w:t>
      </w:r>
      <w:r>
        <w:t xml:space="preserve"> </w:t>
      </w:r>
      <w:r>
        <w:t xml:space="preserve">driving assumption for this model was that residue recovery is</w:t>
      </w:r>
      <w:r>
        <w:t xml:space="preserve"> </w:t>
      </w:r>
      <w:r>
        <w:t xml:space="preserve">opportunistic. Loggers make the decision about what and where to</w:t>
      </w:r>
      <w:r>
        <w:t xml:space="preserve"> </w:t>
      </w:r>
      <w:r>
        <w:t xml:space="preserve">harvest, and the biomass recovery occurs at some time following timber</w:t>
      </w:r>
      <w:r>
        <w:t xml:space="preserve"> </w:t>
      </w:r>
      <w:r>
        <w:t xml:space="preserve">harvest. The decision to harvest is made independently of any</w:t>
      </w:r>
      <w:r>
        <w:t xml:space="preserve"> </w:t>
      </w:r>
      <w:r>
        <w:t xml:space="preserve">knowledge of the value of residue as biomass. The biomass gleaners</w:t>
      </w:r>
      <w:r>
        <w:t xml:space="preserve"> </w:t>
      </w:r>
      <w:r>
        <w:t xml:space="preserve">provide a service to the loggers as the residue would be piled and</w:t>
      </w:r>
      <w:r>
        <w:t xml:space="preserve"> </w:t>
      </w:r>
      <w:r>
        <w:t xml:space="preserve">burned if it was not recovered as biomass.</w:t>
      </w:r>
    </w:p>
    <w:p>
      <w:pPr>
        <w:pStyle w:val="BodyText"/>
      </w:pPr>
      <w:r>
        <w:t xml:space="preserve">Every township will have associated with it a cycle time (and cost)</w:t>
      </w:r>
      <w:r>
        <w:t xml:space="preserve"> </w:t>
      </w:r>
      <w:r>
        <w:t xml:space="preserve">required to transport harvest residue from the township to each of our</w:t>
      </w:r>
      <w:r>
        <w:t xml:space="preserve"> </w:t>
      </w:r>
      <w:r>
        <w:t xml:space="preserve">3 plant locations, a measure of residual biomass for each of the 26</w:t>
      </w:r>
      <w:r>
        <w:t xml:space="preserve"> </w:t>
      </w:r>
      <w:r>
        <w:t xml:space="preserve">years in the study period. For each plant location and year, the model</w:t>
      </w:r>
      <w:r>
        <w:t xml:space="preserve"> </w:t>
      </w:r>
      <w:r>
        <w:t xml:space="preserve">looks at all the townships in the province that have a positive</w:t>
      </w:r>
      <w:r>
        <w:t xml:space="preserve"> </w:t>
      </w:r>
      <w:r>
        <w:t xml:space="preserve">residual volume, and begins the creation of cumulative residual</w:t>
      </w:r>
      <w:r>
        <w:t xml:space="preserve"> </w:t>
      </w:r>
      <w:r>
        <w:t xml:space="preserve">biomass curves starting with the lowest cycle time first. These lists</w:t>
      </w:r>
      <w:r>
        <w:t xml:space="preserve"> </w:t>
      </w:r>
      <w:r>
        <w:t xml:space="preserve">of cycle time and cumulative biomass provide the data for the marginal</w:t>
      </w:r>
      <w:r>
        <w:t xml:space="preserve"> </w:t>
      </w:r>
      <w:r>
        <w:t xml:space="preserve">cycle time and cost curves.</w:t>
      </w:r>
    </w:p>
    <w:p>
      <w:pPr>
        <w:pStyle w:val="BodyText"/>
      </w:pPr>
      <w:r>
        <w:t xml:space="preserve">This is a greedy algorithm. It ignores the cost of moving equipment</w:t>
      </w:r>
      <w:r>
        <w:t xml:space="preserve"> </w:t>
      </w:r>
      <w:r>
        <w:t xml:space="preserve">from one block to another, but we believe it still provides useful</w:t>
      </w:r>
      <w:r>
        <w:t xml:space="preserve"> </w:t>
      </w:r>
      <w:r>
        <w:t xml:space="preserve">information.</w:t>
      </w:r>
    </w:p>
    <w:bookmarkStart w:id="32" w:name="cycle-time-estimates"/>
    <w:p>
      <w:pPr>
        <w:pStyle w:val="Heading2"/>
      </w:pPr>
      <w:r>
        <w:t xml:space="preserve">Cycle time estimates</w:t>
      </w:r>
    </w:p>
    <w:p>
      <w:pPr>
        <w:pStyle w:val="FirstParagraph"/>
      </w:pPr>
      <w:r>
        <w:t xml:space="preserve">The provincial road network was sorted into four classes: primary</w:t>
      </w:r>
      <w:r>
        <w:t xml:space="preserve"> </w:t>
      </w:r>
      <w:r>
        <w:t xml:space="preserve">highways, other paved roads, two-lane gravel roads, and one-lane</w:t>
      </w:r>
      <w:r>
        <w:t xml:space="preserve"> </w:t>
      </w:r>
      <w:r>
        <w:t xml:space="preserve">gravel or dirt roads. Loaded and unloaded travel speeds were assumed</w:t>
      </w:r>
      <w:r>
        <w:t xml:space="preserve"> </w:t>
      </w:r>
      <w:r>
        <w:t xml:space="preserve">for each road class, according to Table 1. These travel speeds are</w:t>
      </w:r>
      <w:r>
        <w:t xml:space="preserve"> </w:t>
      </w:r>
      <w:r>
        <w:t xml:space="preserve">based on those assumed by FPInnovations for the Dawson Creek Timber</w:t>
      </w:r>
      <w:r>
        <w:t xml:space="preserve"> </w:t>
      </w:r>
      <w:r>
        <w:t xml:space="preserve">Supply Area in the neighbouring province of British Columbia</w:t>
      </w:r>
      <w:r>
        <w:t xml:space="preserve"> </w:t>
      </w:r>
      <w:r>
        <w:t xml:space="preserve">@Blackburn2020</w:t>
      </w:r>
      <w:r>
        <w:t xml:space="preserve">.</w:t>
      </w:r>
    </w:p>
    <w:p>
      <w:pPr>
        <w:pStyle w:val="BodyText"/>
      </w:pPr>
      <w:r>
        <w:t xml:space="preserve">The harmonic mean of loaded and unloaded speeds was calculated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</m:e>
          </m:acc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u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is the loaded speed and</w:t>
      </w:r>
      <w:r>
        <w:t xml:space="preserve"> </w:t>
      </w:r>
      <m:oMath>
        <m:sSub>
          <m:e>
            <m:r>
              <m:t>s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is the unloaded speed. Use</w:t>
      </w:r>
      <w:r>
        <w:t xml:space="preserve"> </w:t>
      </w:r>
      <w:r>
        <w:t xml:space="preserve">of harmonic mean allows us to calculate the correct cycle time: the</w:t>
      </w:r>
      <w:r>
        <w:t xml:space="preserve"> </w:t>
      </w:r>
      <w:r>
        <w:t xml:space="preserve">time required to travel from the mill, to the collection site at the</w:t>
      </w:r>
      <w:r>
        <w:t xml:space="preserve"> </w:t>
      </w:r>
      <w:r>
        <w:t xml:space="preserve">cutblock, and back to the mill. This provides the basis for our</w:t>
      </w:r>
      <w:r>
        <w:t xml:space="preserve"> </w:t>
      </w:r>
      <w:r>
        <w:t xml:space="preserve">estimates of haul cost.</w:t>
      </w:r>
    </w:p>
    <w:p>
      <w:pPr>
        <w:pStyle w:val="BodyText"/>
      </w:pPr>
      <w:r>
        <w:t xml:space="preserve">Figure 3 illustrates the road network in Alberta and estimates of</w:t>
      </w:r>
      <w:r>
        <w:t xml:space="preserve"> </w:t>
      </w:r>
      <w:r>
        <w:t xml:space="preserve">cycle time based on the average of loaded and unloaded speeds</w:t>
      </w:r>
      <w:r>
        <w:t xml:space="preserve"> </w:t>
      </w:r>
      <w:r>
        <w:t xml:space="preserve">from Table 1. The road network in the White Area of the province is</w:t>
      </w:r>
      <w:r>
        <w:t xml:space="preserve"> </w:t>
      </w:r>
      <w:r>
        <w:t xml:space="preserve">very dense and largely arranged as a grid related to the Alberta</w:t>
      </w:r>
      <w:r>
        <w:t xml:space="preserve"> </w:t>
      </w:r>
      <w:r>
        <w:t xml:space="preserve">Township Survey System. Most of the roads in the White Area are</w:t>
      </w:r>
      <w:r>
        <w:t xml:space="preserve"> </w:t>
      </w:r>
      <w:r>
        <w:t xml:space="preserve">public. The road network in the Green Area is less dense and</w:t>
      </w:r>
      <w:r>
        <w:t xml:space="preserve"> </w:t>
      </w:r>
      <w:r>
        <w:t xml:space="preserve">many of the roads are built and maintained by resource industries</w:t>
      </w:r>
      <w:r>
        <w:t xml:space="preserve"> </w:t>
      </w:r>
      <w:r>
        <w:t xml:space="preserve">(</w:t>
      </w:r>
      <w:r>
        <w:rPr>
          <w:iCs/>
          <w:i/>
        </w:rPr>
        <w:t xml:space="preserve">e.g.</w:t>
      </w:r>
      <w:r>
        <w:t xml:space="preserve"> </w:t>
      </w:r>
      <w:r>
        <w:t xml:space="preserve">forestry and petroleum &amp; natural gas). The pattern of the</w:t>
      </w:r>
      <w:r>
        <w:t xml:space="preserve"> </w:t>
      </w:r>
      <w:r>
        <w:t xml:space="preserve">road network is not as regular as in the White Area.</w:t>
      </w:r>
    </w:p>
    <w:p>
      <w:pPr>
        <w:pStyle w:val="BodyText"/>
      </w:pPr>
      <w:r>
        <w:t xml:space="preserve">One-way haul times based on the harmonic mean travel speed were</w:t>
      </w:r>
      <w:r>
        <w:t xml:space="preserve"> </w:t>
      </w:r>
      <w:r>
        <w:t xml:space="preserve">generated using the QGIS Network Analysis Toolbox 3 plug-in (QNEAT3)</w:t>
      </w:r>
      <w:r>
        <w:t xml:space="preserve"> </w:t>
      </w:r>
      <w:r>
        <w:t xml:space="preserve">created by Raffler</w:t>
      </w:r>
      <w:r>
        <w:t xml:space="preserve"> </w:t>
      </w:r>
      <w:r>
        <w:t xml:space="preserve">@Raffler2018</w:t>
      </w:r>
      <w:r>
        <w:t xml:space="preserve">, specifically its iso-area as</w:t>
      </w:r>
      <w:r>
        <w:t xml:space="preserve"> </w:t>
      </w:r>
      <w:r>
        <w:t xml:space="preserve">interpolation (from point) algorithm. In our case, we used the</w:t>
      </w:r>
      <w:r>
        <w:t xml:space="preserve"> </w:t>
      </w:r>
      <w:r>
        <w:t xml:space="preserve">algorithm to determine the minimum one-way travel time (using the</w:t>
      </w:r>
      <w:r>
        <w:t xml:space="preserve"> </w:t>
      </w:r>
      <w:r>
        <w:t xml:space="preserve">harmonic mean of loaded and unloaded speeds) along the road</w:t>
      </w:r>
      <w:r>
        <w:t xml:space="preserve"> </w:t>
      </w:r>
      <w:r>
        <w:t xml:space="preserve">network from each of our centres to each cell of a provincial level</w:t>
      </w:r>
      <w:r>
        <w:t xml:space="preserve"> </w:t>
      </w:r>
      <w:r>
        <w:t xml:space="preserve">raster at a 200 m resolution. Off-road travel was assumed to be at 5</w:t>
      </w:r>
      <w:r>
        <w:t xml:space="preserve"> </w:t>
      </w:r>
      <w:r>
        <w:t xml:space="preserve">km/h. The underlying algorithm for travel time minimization is that</w:t>
      </w:r>
      <w:r>
        <w:t xml:space="preserve"> </w:t>
      </w:r>
      <w:r>
        <w:t xml:space="preserve">of Dijkstra</w:t>
      </w:r>
      <w:r>
        <w:t xml:space="preserve"> </w:t>
      </w:r>
      <w:r>
        <w:t xml:space="preserve">@Dijkstra1959</w:t>
      </w:r>
      <w:r>
        <w:t xml:space="preserve">. Cycle times were calculated by multiplying</w:t>
      </w:r>
      <w:r>
        <w:t xml:space="preserve"> </w:t>
      </w:r>
      <w:r>
        <w:t xml:space="preserve">the one-way haul time by 2, and adding 1 hour for loading and unloading</w:t>
      </w:r>
    </w:p>
    <w:p>
      <w:pPr>
        <w:pStyle w:val="BodyText"/>
      </w:pPr>
      <w:r>
        <w:t xml:space="preserve">QGIS zonal statistics were used to calculate the median cycle</w:t>
      </w:r>
      <w:r>
        <w:t xml:space="preserve"> </w:t>
      </w:r>
      <w:r>
        <w:t xml:space="preserve">time to each township, from each of our three centres. The</w:t>
      </w:r>
      <w:r>
        <w:t xml:space="preserve"> </w:t>
      </w:r>
      <w:r>
        <w:t xml:space="preserve">cycle time in Figure 2 was limited to 14 hours because, in Alberta,</w:t>
      </w:r>
      <w:r>
        <w:t xml:space="preserve"> </w:t>
      </w:r>
      <w:r>
        <w:t xml:space="preserve">drivers of commercial vehicles are not permitted to drive</w:t>
      </w:r>
      <w:r>
        <w:t xml:space="preserve"> </w:t>
      </w:r>
      <w:r>
        <w:t xml:space="preserve">more than 13 hours in a 24-hour period, and spend no more that 14</w:t>
      </w:r>
      <w:r>
        <w:t xml:space="preserve"> </w:t>
      </w:r>
      <w:r>
        <w:t xml:space="preserve">hours on-duty, including loading and unloading times.</w:t>
      </w:r>
    </w:p>
    <w:bookmarkEnd w:id="32"/>
    <w:bookmarkStart w:id="33" w:name="biomass-collection-costs"/>
    <w:p>
      <w:pPr>
        <w:pStyle w:val="Heading2"/>
      </w:pPr>
      <w:r>
        <w:t xml:space="preserve">Biomass collection costs</w:t>
      </w:r>
    </w:p>
    <w:p>
      <w:pPr>
        <w:pStyle w:val="FirstParagraph"/>
      </w:pPr>
      <w:r>
        <w:t xml:space="preserve">All costs and prices used in this study are in Canadian dollars ($).</w:t>
      </w:r>
      <w:r>
        <w:t xml:space="preserve"> </w:t>
      </w:r>
      <w:r>
        <w:t xml:space="preserve">At the time of writing (2021-11-18 19:31:05 GMT), the exchange rate between</w:t>
      </w:r>
      <w:r>
        <w:t xml:space="preserve"> </w:t>
      </w:r>
      <w:r>
        <w:t xml:space="preserve">Canadian (CAD) and US dollars (USD) was 0.7931 USD/CAD.</w:t>
      </w:r>
    </w:p>
    <w:p>
      <w:pPr>
        <w:pStyle w:val="BodyText"/>
      </w:pPr>
      <w:r>
        <w:t xml:space="preserve">All measures of biomass used in this study are reported in SI units on</w:t>
      </w:r>
      <w:r>
        <w:t xml:space="preserve"> </w:t>
      </w:r>
      <w:r>
        <w:t xml:space="preserve">a dry matter basis: 1 Mg is equivalent to 1 oven dry metric</w:t>
      </w:r>
      <w:r>
        <w:t xml:space="preserve"> </w:t>
      </w:r>
      <w:r>
        <w:t xml:space="preserve">ton.</w:t>
      </w:r>
    </w:p>
    <w:p>
      <w:pPr>
        <w:pStyle w:val="BodyText"/>
      </w:pPr>
      <w:r>
        <w:t xml:space="preserve">We assume that the biomass available for collection at a cutblock</w:t>
      </w:r>
      <w:r>
        <w:t xml:space="preserve"> </w:t>
      </w:r>
      <w:r>
        <w:t xml:space="preserve">includes the tops, branches, and foliage left at a roadside landing</w:t>
      </w:r>
      <w:r>
        <w:t xml:space="preserve"> </w:t>
      </w:r>
      <w:r>
        <w:t xml:space="preserve">after processing by a stroke delimber. The delimber is assumed to top</w:t>
      </w:r>
      <w:r>
        <w:t xml:space="preserve"> </w:t>
      </w:r>
      <w:r>
        <w:t xml:space="preserve">the log at the top diameter specified in the utilization standard</w:t>
      </w:r>
      <w:r>
        <w:t xml:space="preserve"> </w:t>
      </w:r>
      <w:r>
        <w:t xml:space="preserve">relevant to the harvest area.</w:t>
      </w:r>
      <w:r>
        <w:t xml:space="preserve"> </w:t>
      </w:r>
      <w:r>
        <w:t xml:space="preserve">Our focus in this study is on the spatial and temporal variation in</w:t>
      </w:r>
      <w:r>
        <w:t xml:space="preserve"> </w:t>
      </w:r>
      <w:r>
        <w:t xml:space="preserve">biomass collection costs based on residue availability associated with</w:t>
      </w:r>
      <w:r>
        <w:t xml:space="preserve"> </w:t>
      </w:r>
      <w:r>
        <w:t xml:space="preserve">cycle times. Following Röser</w:t>
      </w:r>
      <w:r>
        <w:t xml:space="preserve"> </w:t>
      </w:r>
      <w:r>
        <w:t xml:space="preserve">@Roser2013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the cost of recovering residues from a roadside stroke-delimber , excluding</w:t>
      </w:r>
      <w:r>
        <w:t xml:space="preserve"> </w:t>
      </w:r>
      <w:r>
        <w:t xml:space="preserve">transport, is 41.60 $·Mg</w:t>
      </w:r>
      <w:r>
        <w:rPr>
          <w:vertAlign w:val="superscript"/>
        </w:rPr>
        <w:t xml:space="preserve">-1</w:t>
      </w:r>
      <w:r>
        <w:t xml:space="preserve">.</w:t>
      </w:r>
    </w:p>
    <w:p>
      <w:pPr>
        <w:pStyle w:val="BodyText"/>
      </w:pPr>
      <w:r>
        <w:t xml:space="preserve">We assume that the residue will be transported from the forest using a</w:t>
      </w:r>
      <w:r>
        <w:t xml:space="preserve"> </w:t>
      </w:r>
      <w:r>
        <w:t xml:space="preserve">live floor chip van with 100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capacity. The USDA Forest Service’s</w:t>
      </w:r>
      <w:r>
        <w:t xml:space="preserve"> </w:t>
      </w:r>
      <w:r>
        <w:t xml:space="preserve">Forest Residue Transportation Costing Model</w:t>
      </w:r>
      <w:r>
        <w:t xml:space="preserve"> </w:t>
      </w:r>
      <w:r>
        <w:t xml:space="preserve">@Rummer2005</w:t>
      </w:r>
      <w:r>
        <w:t xml:space="preserve"> </w:t>
      </w:r>
      <w:r>
        <w:t xml:space="preserve">assumes a</w:t>
      </w:r>
      <w:r>
        <w:t xml:space="preserve"> </w:t>
      </w:r>
      <w:r>
        <w:t xml:space="preserve">default solid volume factor of 0.3 for biomass meaning that a 100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capacity trailer could hold the equivalent of 30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of solid</w:t>
      </w:r>
      <w:r>
        <w:t xml:space="preserve"> </w:t>
      </w:r>
      <w:r>
        <w:t xml:space="preserve">biomass.</w:t>
      </w:r>
    </w:p>
    <w:p>
      <w:pPr>
        <w:pStyle w:val="BodyText"/>
      </w:pPr>
      <w:r>
        <w:t xml:space="preserve">This equates to 11.40 Mg</w:t>
      </w:r>
      <w:r>
        <w:t xml:space="preserve"> </w:t>
      </w:r>
      <w:r>
        <w:t xml:space="preserve">of biomass assuming a specific gravity of 0.38</w:t>
      </w:r>
      <w:r>
        <w:t xml:space="preserve"> </w:t>
      </w:r>
      <w:r>
        <w:t xml:space="preserve">which is the specific gravity of lodgepole pine wood and bark on a green volume basis</w:t>
      </w:r>
      <w:r>
        <w:t xml:space="preserve"> </w:t>
      </w:r>
      <w:r>
        <w:t xml:space="preserve">according to Miles and Smith</w:t>
      </w:r>
      <w:r>
        <w:t xml:space="preserve"> </w:t>
      </w:r>
      <w:r>
        <w:t xml:space="preserve">@Miles2009a</w:t>
      </w:r>
      <w:r>
        <w:t xml:space="preserve">.</w:t>
      </w:r>
    </w:p>
    <w:p>
      <w:pPr>
        <w:pStyle w:val="BodyText"/>
      </w:pPr>
      <w:r>
        <w:t xml:space="preserve">Timber Tracks produces a publication describing forestry equipment hourly rates</w:t>
      </w:r>
      <w:r>
        <w:t xml:space="preserve"> </w:t>
      </w:r>
      <w:r>
        <w:t xml:space="preserve">@TT2020</w:t>
      </w:r>
      <w:r>
        <w:t xml:space="preserve">. The rate reported for</w:t>
      </w:r>
      <w:r>
        <w:t xml:space="preserve"> </w:t>
      </w:r>
      <w:r>
        <w:t xml:space="preserve"> </w:t>
      </w:r>
      <w:r>
        <w:t xml:space="preserve">tandem tractor with a tandem trailer was</w:t>
      </w:r>
      <w:r>
        <w:t xml:space="preserve"> </w:t>
      </w:r>
      <w:r>
        <w:t xml:space="preserve">157.31 $/h. We assume that</w:t>
      </w:r>
      <w:r>
        <w:t xml:space="preserve"> </w:t>
      </w:r>
      <w:r>
        <w:t xml:space="preserve">the tractor-trailer combination used to haul biomass would cost a</w:t>
      </w:r>
      <w:r>
        <w:t xml:space="preserve"> </w:t>
      </w:r>
      <w:r>
        <w:t xml:space="preserve">similar amount.</w:t>
      </w:r>
    </w:p>
    <w:p>
      <w:pPr>
        <w:pStyle w:val="BodyText"/>
      </w:pPr>
      <w:r>
        <w:t xml:space="preserve">Therefore, the cost of transporting residual biomass was set to</w:t>
      </w:r>
      <w:r>
        <w:t xml:space="preserve"> </w:t>
      </w:r>
      <w:r>
        <w:t xml:space="preserve">13.80 $·Mg</w:t>
      </w:r>
      <w:r>
        <w:rPr>
          <w:vertAlign w:val="superscript"/>
        </w:rPr>
        <w:t xml:space="preserve">-1</w:t>
      </w:r>
      <w:r>
        <w:t xml:space="preserve">·h</w:t>
      </w:r>
      <w:r>
        <w:rPr>
          <w:vertAlign w:val="superscript"/>
        </w:rPr>
        <w:t xml:space="preserve">-1</w:t>
      </w:r>
      <w:r>
        <w:t xml:space="preserve">.</w:t>
      </w:r>
    </w:p>
    <w:bookmarkEnd w:id="33"/>
    <w:bookmarkStart w:id="34" w:name="harvested-area"/>
    <w:p>
      <w:pPr>
        <w:pStyle w:val="Heading2"/>
      </w:pPr>
      <w:r>
        <w:t xml:space="preserve">Harvested area</w:t>
      </w:r>
    </w:p>
    <w:p>
      <w:pPr>
        <w:pStyle w:val="FirstParagraph"/>
      </w:pPr>
      <w:r>
        <w:t xml:space="preserve">The areas harvested by township in 2009 according to NFIS</w:t>
      </w:r>
      <w:r>
        <w:t xml:space="preserve"> </w:t>
      </w:r>
      <w:r>
        <w:t xml:space="preserve">@NFIS2021b</w:t>
      </w:r>
      <w:r>
        <w:t xml:space="preserve"> </w:t>
      </w:r>
      <w:r>
        <w:t xml:space="preserve">@Hermosilla2016</w:t>
      </w:r>
      <w:r>
        <w:t xml:space="preserve"> </w:t>
      </w:r>
      <w:r>
        <w:t xml:space="preserve">are shown in relationship to the three plant locations and</w:t>
      </w:r>
      <w:r>
        <w:t xml:space="preserve"> </w:t>
      </w:r>
      <w:r>
        <w:t xml:space="preserve">the Green Area in Figure 1. Similar aggregated data were created for</w:t>
      </w:r>
      <w:r>
        <w:t xml:space="preserve"> </w:t>
      </w:r>
      <w:r>
        <w:t xml:space="preserve">each of the years 1990–2015. For each township, and</w:t>
      </w:r>
      <w:r>
        <w:t xml:space="preserve"> </w:t>
      </w:r>
      <w:r>
        <w:t xml:space="preserve">each of the years between 1990 and 2015, we store the area harvested (ha) for</w:t>
      </w:r>
      <w:r>
        <w:t xml:space="preserve"> </w:t>
      </w:r>
      <w:r>
        <w:t xml:space="preserve">use in our analysis. We can see from this map that a great deal of timber</w:t>
      </w:r>
      <w:r>
        <w:t xml:space="preserve"> </w:t>
      </w:r>
      <w:r>
        <w:t xml:space="preserve">harvest took place near our hypothetical plant locations in 2009.</w:t>
      </w:r>
    </w:p>
    <w:p>
      <w:pPr>
        <w:pStyle w:val="BodyText"/>
      </w:pPr>
      <w:r>
        <w:t xml:space="preserve">These data were created by using QGIS zonal statistics to sum the area</w:t>
      </w:r>
      <w:r>
        <w:t xml:space="preserve"> </w:t>
      </w:r>
      <w:r>
        <w:t xml:space="preserve">harvested in each township in each year based on the 30 m resolution</w:t>
      </w:r>
      <w:r>
        <w:t xml:space="preserve"> </w:t>
      </w:r>
      <w:r>
        <w:t xml:space="preserve">harvest data</w:t>
      </w:r>
      <w:r>
        <w:t xml:space="preserve"> </w:t>
      </w:r>
      <w:r>
        <w:t xml:space="preserve">@NFIS2021b</w:t>
      </w:r>
      <w:r>
        <w:t xml:space="preserve">.</w:t>
      </w:r>
    </w:p>
    <w:bookmarkEnd w:id="34"/>
    <w:bookmarkStart w:id="35" w:name="utilization-standards"/>
    <w:p>
      <w:pPr>
        <w:pStyle w:val="Heading2"/>
      </w:pPr>
      <w:r>
        <w:t xml:space="preserve">Utilization standards</w:t>
      </w:r>
    </w:p>
    <w:p>
      <w:pPr>
        <w:pStyle w:val="FirstParagraph"/>
      </w:pPr>
      <w:r>
        <w:t xml:space="preserve">Many forest products companies operate in Alberta, and the details of</w:t>
      </w:r>
      <w:r>
        <w:t xml:space="preserve"> </w:t>
      </w:r>
      <w:r>
        <w:t xml:space="preserve">their agreements with the government with respect to forest management</w:t>
      </w:r>
      <w:r>
        <w:t xml:space="preserve"> </w:t>
      </w:r>
      <w:r>
        <w:t xml:space="preserve">differ. Some companies have harvesting rights to just the needleleaf</w:t>
      </w:r>
      <w:r>
        <w:t xml:space="preserve"> </w:t>
      </w:r>
      <w:r>
        <w:t xml:space="preserve">species, others have rights to just the broadleaf species, and some</w:t>
      </w:r>
      <w:r>
        <w:t xml:space="preserve"> </w:t>
      </w:r>
      <w:r>
        <w:t xml:space="preserve">have rights to both needleleaf and broadleaf.</w:t>
      </w:r>
    </w:p>
    <w:p>
      <w:pPr>
        <w:pStyle w:val="BodyText"/>
      </w:pPr>
      <w:r>
        <w:t xml:space="preserve">Utilization standards in Alberta are specified on the basis of stump</w:t>
      </w:r>
      <w:r>
        <w:t xml:space="preserve"> </w:t>
      </w:r>
      <w:r>
        <w:t xml:space="preserve">height, minimum stump diameter (outside bark), and minimum log length</w:t>
      </w:r>
      <w:r>
        <w:t xml:space="preserve"> </w:t>
      </w:r>
      <w:r>
        <w:t xml:space="preserve">to a specified top diameter (inside bark). Utilization standards vary</w:t>
      </w:r>
      <w:r>
        <w:t xml:space="preserve"> </w:t>
      </w:r>
      <w:r>
        <w:t xml:space="preserve">by FMU. Stump heights used in Alberta are 15 and 30 cm; stump</w:t>
      </w:r>
      <w:r>
        <w:t xml:space="preserve"> </w:t>
      </w:r>
      <w:r>
        <w:t xml:space="preserve">diameters are 13 or 15 cm; top diameters range between 7 and 12 cm;</w:t>
      </w:r>
      <w:r>
        <w:t xml:space="preserve"> </w:t>
      </w:r>
      <w:r>
        <w:t xml:space="preserve">and minimum log lengths range between 2.44 and 4.88 m. These</w:t>
      </w:r>
      <w:r>
        <w:t xml:space="preserve"> </w:t>
      </w:r>
      <w:r>
        <w:t xml:space="preserve">utilization standards are necessary to relate volumes calculated to</w:t>
      </w:r>
      <w:r>
        <w:t xml:space="preserve"> </w:t>
      </w:r>
      <w:r>
        <w:t xml:space="preserve">the 13+/7 cm standard for the National Forest Inventory to the harvest</w:t>
      </w:r>
      <w:r>
        <w:t xml:space="preserve"> </w:t>
      </w:r>
      <w:r>
        <w:t xml:space="preserve">volumes reported by the companies. Perhaps most importantly, the</w:t>
      </w:r>
      <w:r>
        <w:t xml:space="preserve"> </w:t>
      </w:r>
      <w:r>
        <w:t xml:space="preserve">minimum top diameter will have an effect on the volume of residue left</w:t>
      </w:r>
      <w:r>
        <w:t xml:space="preserve"> </w:t>
      </w:r>
      <w:r>
        <w:t xml:space="preserve">in the forest corresponding to the tops of trees.</w:t>
      </w:r>
    </w:p>
    <w:p>
      <w:pPr>
        <w:pStyle w:val="BodyText"/>
      </w:pPr>
      <w:r>
        <w:t xml:space="preserve">Based on the FMU boundaries, we assign a needleleaf and broadleaf</w:t>
      </w:r>
      <w:r>
        <w:t xml:space="preserve"> </w:t>
      </w:r>
      <w:r>
        <w:t xml:space="preserve">utilization standard to each township.</w:t>
      </w:r>
    </w:p>
    <w:bookmarkEnd w:id="35"/>
    <w:bookmarkStart w:id="40" w:name="characteristics-of-the-average-tree"/>
    <w:p>
      <w:pPr>
        <w:pStyle w:val="Heading2"/>
      </w:pPr>
      <w:r>
        <w:t xml:space="preserve">Characteristics of 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tree</w:t>
      </w:r>
    </w:p>
    <w:bookmarkStart w:id="36" w:name="piece-size"/>
    <w:p>
      <w:pPr>
        <w:pStyle w:val="Heading3"/>
      </w:pPr>
      <w:r>
        <w:t xml:space="preserve">Piece size</w:t>
      </w:r>
    </w:p>
    <w:p>
      <w:pPr>
        <w:pStyle w:val="FirstParagraph"/>
      </w:pPr>
      <w:r>
        <w:t xml:space="preserve">FMA holders are required by Alberta to project average piece size in the</w:t>
      </w:r>
      <w:r>
        <w:t xml:space="preserve"> </w:t>
      </w:r>
      <w:r>
        <w:t xml:space="preserve">detailed forest management plans (DMFPs) for their FMAAs. We use these piece sizes</w:t>
      </w:r>
      <w:r>
        <w:t xml:space="preserve"> </w:t>
      </w:r>
      <w:r>
        <w:t xml:space="preserve">projected for the first period of the DMFP. They range from 0.110 to 0.599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per tree.</w:t>
      </w:r>
      <w:r>
        <w:t xml:space="preserve"> </w:t>
      </w:r>
      <w:r>
        <w:t xml:space="preserve">We used the piece size reported</w:t>
      </w:r>
      <w:r>
        <w:t xml:space="preserve"> </w:t>
      </w:r>
      <w:r>
        <w:t xml:space="preserve">for the first 5-year period of the 200-year planning horizon. For</w:t>
      </w:r>
      <w:r>
        <w:t xml:space="preserve"> </w:t>
      </w:r>
      <w:r>
        <w:t xml:space="preserve">those areas where piece size was not reported we assumed an average</w:t>
      </w:r>
      <w:r>
        <w:t xml:space="preserve"> </w:t>
      </w:r>
      <w:r>
        <w:t xml:space="preserve">piece size of 0.278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for needleleaf trees and 0.264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for</w:t>
      </w:r>
      <w:r>
        <w:t xml:space="preserve"> </w:t>
      </w:r>
      <w:r>
        <w:t xml:space="preserve">broadleaf trees. These are the average of the values reported in</w:t>
      </w:r>
      <w:r>
        <w:t xml:space="preserve"> </w:t>
      </w:r>
      <w:r>
        <w:t xml:space="preserve">the forest management plans. These values are based on the</w:t>
      </w:r>
      <w:r>
        <w:t xml:space="preserve"> </w:t>
      </w:r>
      <w:r>
        <w:t xml:space="preserve">utilization standards used on the FMA. Based on the FMU boundaries we</w:t>
      </w:r>
      <w:r>
        <w:t xml:space="preserve"> </w:t>
      </w:r>
      <w:r>
        <w:t xml:space="preserve">assign an average piece size for broadleaf and needleleaf trees to</w:t>
      </w:r>
      <w:r>
        <w:t xml:space="preserve"> </w:t>
      </w:r>
      <w:r>
        <w:t xml:space="preserve">each township.</w:t>
      </w:r>
    </w:p>
    <w:bookmarkEnd w:id="36"/>
    <w:bookmarkStart w:id="37" w:name="taper-functions"/>
    <w:p>
      <w:pPr>
        <w:pStyle w:val="Heading3"/>
      </w:pPr>
      <w:r>
        <w:t xml:space="preserve">Taper functions</w:t>
      </w:r>
    </w:p>
    <w:p>
      <w:pPr>
        <w:pStyle w:val="FirstParagraph"/>
      </w:pPr>
      <w:r>
        <w:t xml:space="preserve">Ung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@Ung2013</w:t>
      </w:r>
      <w:r>
        <w:t xml:space="preserve"> </w:t>
      </w:r>
      <w:r>
        <w:t xml:space="preserve">present taper models and the associated</w:t>
      </w:r>
      <w:r>
        <w:t xml:space="preserve"> </w:t>
      </w:r>
      <w:r>
        <w:t xml:space="preserve">coefficients for the tree species found in Canada. These taper models</w:t>
      </w:r>
      <w:r>
        <w:t xml:space="preserve"> </w:t>
      </w:r>
      <w:r>
        <w:t xml:space="preserve">can be used to find the diameter at any point along the main bole of a</w:t>
      </w:r>
      <w:r>
        <w:t xml:space="preserve"> </w:t>
      </w:r>
      <w:r>
        <w:t xml:space="preserve">tree given species and diameter at breast height (DBH). DBH is a</w:t>
      </w:r>
      <w:r>
        <w:t xml:space="preserve"> </w:t>
      </w:r>
      <w:r>
        <w:t xml:space="preserve">commonly used tree measurement and is the diameter of the tree</w:t>
      </w:r>
      <w:r>
        <w:t xml:space="preserve"> </w:t>
      </w:r>
      <w:r>
        <w:t xml:space="preserve">measured at 1.3 m above ground level, in most jurisdictions, including</w:t>
      </w:r>
      <w:r>
        <w:t xml:space="preserve"> </w:t>
      </w:r>
      <w:r>
        <w:t xml:space="preserve">Alberta. It is straightforward to determine cross-sectional area of</w:t>
      </w:r>
      <w:r>
        <w:t xml:space="preserve"> </w:t>
      </w:r>
      <w:r>
        <w:t xml:space="preserve">the tree at any height. Integrating this area function will yield</w:t>
      </w:r>
      <w:r>
        <w:t xml:space="preserve"> </w:t>
      </w:r>
      <w:r>
        <w:t xml:space="preserve">volume between any two heights.</w:t>
      </w:r>
    </w:p>
    <w:p>
      <w:pPr>
        <w:pStyle w:val="BodyText"/>
      </w:pPr>
      <w:r>
        <w:t xml:space="preserve">They present a one-parameter model which is useful when both tree DBH</w:t>
      </w:r>
      <w:r>
        <w:t xml:space="preserve"> </w:t>
      </w:r>
      <w:r>
        <w:t xml:space="preserve">and height measurements are available.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f>
                    <m:fPr>
                      <m:type m:val="bar"/>
                    </m:fPr>
                    <m:num>
                      <m:r>
                        <m:t>H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h</m:t>
                      </m:r>
                    </m:num>
                    <m:den>
                      <m:r>
                        <m:t>H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1.3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h</m:t>
                              </m:r>
                            </m:num>
                            <m:den>
                              <m:r>
                                <m:t>1.3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diameter (cm) at height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(m), and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diameter at</w:t>
      </w:r>
      <w:r>
        <w:t xml:space="preserve"> </w:t>
      </w:r>
      <w:r>
        <w:t xml:space="preserve">breast height (1.3 m above ground level),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tree height (m).</w:t>
      </w:r>
    </w:p>
    <w:p>
      <w:pPr>
        <w:pStyle w:val="BodyText"/>
      </w:pPr>
      <w:r>
        <w:t xml:space="preserve">For those cases where height measurements are unavailable, they</w:t>
      </w:r>
      <w:r>
        <w:t xml:space="preserve"> </w:t>
      </w:r>
      <w:r>
        <w:t xml:space="preserve">present a 3-parameter model, where H is replaced with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sSubSup>
          <m:e>
            <m:r>
              <m:t>d</m:t>
            </m:r>
          </m:e>
          <m:sub>
            <m:r>
              <m:t>b</m:t>
            </m:r>
          </m:sub>
          <m:sup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bSup>
                        <m:e>
                          <m:r>
                            <m:t>d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p>
                      </m:sSubSup>
                    </m:num>
                    <m:den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bSup>
                        <m:e>
                          <m:r>
                            <m:t>d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1.3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h</m:t>
                              </m:r>
                            </m:num>
                            <m:den>
                              <m:r>
                                <m:t>1.3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diameter (cm) at height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(m), and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diameter at</w:t>
      </w:r>
      <w:r>
        <w:t xml:space="preserve"> </w:t>
      </w:r>
      <w:r>
        <w:t xml:space="preserve">breast height (1.3 m above ground level)</w:t>
      </w:r>
    </w:p>
    <w:p>
      <w:pPr>
        <w:pStyle w:val="BodyText"/>
      </w:pPr>
      <w:r>
        <w:t xml:space="preserve">Implicit in this equation is an equation for tree height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sSubSup>
            <m:e>
              <m:r>
                <m:t>d</m:t>
              </m:r>
            </m:e>
            <m:sub>
              <m:r>
                <m:t>b</m:t>
              </m:r>
            </m:sub>
            <m:sup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which we will use to create input for the biomass calculator</w:t>
      </w:r>
    </w:p>
    <w:p>
      <w:pPr>
        <w:pStyle w:val="BodyText"/>
      </w:pPr>
      <w:r>
        <w:t xml:space="preserve">The radius of the tree (m) can be calculated from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using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num>
            <m:den>
              <m:r>
                <m:t>200</m:t>
              </m:r>
            </m:den>
          </m:f>
        </m:oMath>
      </m:oMathPara>
    </w:p>
    <w:p>
      <w:pPr>
        <w:pStyle w:val="FirstParagraph"/>
      </w:pPr>
      <w:r>
        <w:t xml:space="preserve">where the constant 200 is used to convert a diameter (cm) to a radius (m).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r>
            <m:t>π</m:t>
          </m:r>
          <m:r>
            <m:t>r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volume of the merchantable log between stump height</w:t>
      </w:r>
      <w:r>
        <w:t xml:space="preserve"> </w:t>
      </w:r>
      <m:oMath>
        <m:sSub>
          <m:e>
            <m:r>
              <m:t>h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height of the tree at the minimum top diameter (</w:t>
      </w:r>
      <m:oMath>
        <m:sSub>
          <m:e>
            <m:r>
              <m:t>h</m:t>
            </m:r>
          </m:e>
          <m:sub>
            <m:r>
              <m:t>t</m:t>
            </m:r>
          </m:sub>
        </m:sSub>
      </m:oMath>
      <w:r>
        <w:t xml:space="preserve">) can then be</w:t>
      </w:r>
      <w:r>
        <w:t xml:space="preserve"> </w:t>
      </w:r>
      <w:r>
        <w:t xml:space="preserve">calculated through integration.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</m:sub>
            <m:sup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sup>
            <m:e>
              <m:r>
                <m:t>π</m:t>
              </m:r>
            </m:e>
          </m:nary>
          <m:r>
            <m:t>r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e>
            <m:sup>
              <m:r>
                <m:t>2</m:t>
              </m:r>
            </m:sup>
          </m:sSup>
          <m:r>
            <m:t>d</m:t>
          </m:r>
          <m:r>
            <m:t>h</m:t>
          </m:r>
        </m:oMath>
      </m:oMathPara>
    </w:p>
    <w:p>
      <w:pPr>
        <w:pStyle w:val="FirstParagraph"/>
      </w:pPr>
      <w:r>
        <w:t xml:space="preserve">Ung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also present a simple linear model relating outside bark</w:t>
      </w:r>
      <w:r>
        <w:t xml:space="preserve"> </w:t>
      </w:r>
      <w:r>
        <w:t xml:space="preserve">to inside bark diameter. The taper function is for outside bark</w:t>
      </w:r>
      <w:r>
        <w:t xml:space="preserve"> </w:t>
      </w:r>
      <w:r>
        <w:t xml:space="preserve">diameter, but piece sizes are reported as inside bark volume.</w:t>
      </w:r>
    </w:p>
    <w:bookmarkEnd w:id="37"/>
    <w:bookmarkStart w:id="38" w:name="dbh-and-height-estimates"/>
    <w:p>
      <w:pPr>
        <w:pStyle w:val="Heading3"/>
      </w:pPr>
      <w:r>
        <w:t xml:space="preserve">DBH and height estimates</w:t>
      </w:r>
    </w:p>
    <w:p>
      <w:pPr>
        <w:pStyle w:val="FirstParagraph"/>
      </w:pPr>
      <w:r>
        <w:t xml:space="preserve">From information collected from forest management plans we have an</w:t>
      </w:r>
      <w:r>
        <w:t xml:space="preserve"> </w:t>
      </w:r>
      <w:r>
        <w:t xml:space="preserve">estimate of average piece size calculated to a specified utilization</w:t>
      </w:r>
      <w:r>
        <w:t xml:space="preserve"> </w:t>
      </w:r>
      <w:r>
        <w:t xml:space="preserve">standard for every combination of township and FMU, for both needleaf</w:t>
      </w:r>
      <w:r>
        <w:t xml:space="preserve"> </w:t>
      </w:r>
      <w:r>
        <w:t xml:space="preserve">and broadleaf trees. We used a binary search procedure to find DBH</w:t>
      </w:r>
      <w:r>
        <w:t xml:space="preserve"> </w:t>
      </w:r>
      <w:r>
        <w:t xml:space="preserve">and height of 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broadleaf and needleleaf tree in each</w:t>
      </w:r>
      <w:r>
        <w:t xml:space="preserve"> </w:t>
      </w:r>
      <w:r>
        <w:t xml:space="preserve">township based on the FMP utilization standard. An average piece</w:t>
      </w:r>
      <w:r>
        <w:t xml:space="preserve"> </w:t>
      </w:r>
      <w:r>
        <w:t xml:space="preserve">size to the 13+/7 utilization standard was also calculated by</w:t>
      </w:r>
      <w:r>
        <w:t xml:space="preserve"> </w:t>
      </w:r>
      <w:r>
        <w:t xml:space="preserve">integrating the cross-sectional area function using the appropriate limits.</w:t>
      </w:r>
    </w:p>
    <w:p>
      <w:pPr>
        <w:pStyle w:val="BodyText"/>
      </w:pPr>
      <w:r>
        <w:t xml:space="preserve">Most forest stands in Alberta are considered to be even-aged, as the majority</w:t>
      </w:r>
      <w:r>
        <w:t xml:space="preserve"> </w:t>
      </w:r>
      <w:r>
        <w:t xml:space="preserve">originated following stand-replacing fire or clearcut harvest. It is common to describe</w:t>
      </w:r>
      <w:r>
        <w:t xml:space="preserve"> </w:t>
      </w:r>
      <w:r>
        <w:t xml:space="preserve">stands using a distribution of diameters at breast height (DBH). The</w:t>
      </w:r>
      <w:r>
        <w:t xml:space="preserve"> </w:t>
      </w:r>
      <w:r>
        <w:t xml:space="preserve">diameter distribution for an even-aged stand is usually approximately normal</w:t>
      </w:r>
      <w:r>
        <w:t xml:space="preserve"> </w:t>
      </w:r>
      <w:r>
        <w:t xml:space="preserve">@Bettinger2017</w:t>
      </w:r>
      <w:r>
        <w:t xml:space="preserve">. We use this to justify the use of the average tree.</w:t>
      </w:r>
    </w:p>
    <w:p>
      <w:pPr>
        <w:pStyle w:val="BodyText"/>
      </w:pPr>
      <w:r>
        <w:t xml:space="preserve">Using these equations, we are able to calculate wood volumes and bark volumes</w:t>
      </w:r>
      <w:r>
        <w:t xml:space="preserve"> </w:t>
      </w:r>
      <w:r>
        <w:t xml:space="preserve">between any two heights along the tree stem. We calculate the proportions</w:t>
      </w:r>
      <w:r>
        <w:t xml:space="preserve"> </w:t>
      </w:r>
      <w:r>
        <w:t xml:space="preserve">of total tree and bark volumes in the top of the tree. We use this volume</w:t>
      </w:r>
      <w:r>
        <w:t xml:space="preserve"> </w:t>
      </w:r>
      <w:r>
        <w:t xml:space="preserve">proportion later to calculate biomass of stemwood and bark in the top.</w:t>
      </w:r>
    </w:p>
    <w:p>
      <w:pPr>
        <w:pStyle w:val="BodyText"/>
      </w:pPr>
      <w:r>
        <w:t xml:space="preserve">The merchantable volume for the average tree is calculated to both the 13+/7 cm</w:t>
      </w:r>
      <w:r>
        <w:t xml:space="preserve"> </w:t>
      </w:r>
      <w:r>
        <w:t xml:space="preserve">utilization standard and the utilization standard specified for the FMU. The 13+/7</w:t>
      </w:r>
      <w:r>
        <w:t xml:space="preserve"> </w:t>
      </w:r>
      <w:r>
        <w:t xml:space="preserve">utilization standard is used to calculate the stand density (stems/ha) for both</w:t>
      </w:r>
      <w:r>
        <w:t xml:space="preserve"> </w:t>
      </w:r>
      <w:r>
        <w:t xml:space="preserve">the needleleaf and the broadleaf species. The FMU utilization standard is use to calculate</w:t>
      </w:r>
      <w:r>
        <w:t xml:space="preserve"> </w:t>
      </w:r>
      <w:r>
        <w:t xml:space="preserve">the volume adjustment factor.</w:t>
      </w:r>
    </w:p>
    <w:bookmarkEnd w:id="38"/>
    <w:bookmarkStart w:id="39" w:name="individual-tree-resdual-biomass."/>
    <w:p>
      <w:pPr>
        <w:pStyle w:val="Heading3"/>
      </w:pPr>
      <w:r>
        <w:t xml:space="preserve">Individual tree resdual biomass.</w:t>
      </w:r>
    </w:p>
    <w:p>
      <w:pPr>
        <w:pStyle w:val="FirstParagraph"/>
      </w:pPr>
      <w:r>
        <w:t xml:space="preserve">Canada’s national forest inventory website provides a useful individual</w:t>
      </w:r>
      <w:r>
        <w:t xml:space="preserve"> </w:t>
      </w:r>
      <w:r>
        <w:t xml:space="preserve">tree biomass calculator</w:t>
      </w:r>
      <w:r>
        <w:t xml:space="preserve"> </w:t>
      </w:r>
      <w:r>
        <w:t xml:space="preserve">@NFIS2016</w:t>
      </w:r>
      <w:r>
        <w:t xml:space="preserve">. It calculates the biomass of tree</w:t>
      </w:r>
      <w:r>
        <w:t xml:space="preserve"> </w:t>
      </w:r>
      <w:r>
        <w:t xml:space="preserve">components (stem wood, stem bark, branches, foliage, and total) using</w:t>
      </w:r>
      <w:r>
        <w:t xml:space="preserve"> </w:t>
      </w:r>
      <w:r>
        <w:t xml:space="preserve">province/territory, terrestrial ecozone, species, DBH, and tree height as input.</w:t>
      </w:r>
      <w:r>
        <w:t xml:space="preserve"> </w:t>
      </w:r>
      <w:r>
        <w:t xml:space="preserve">It is possible to upload a file to the calculator so that the biomass of</w:t>
      </w:r>
      <w:r>
        <w:t xml:space="preserve"> </w:t>
      </w:r>
      <w:r>
        <w:t xml:space="preserve">many trees can be calculated at once. The calculator is based on work</w:t>
      </w:r>
      <w:r>
        <w:t xml:space="preserve"> </w:t>
      </w:r>
      <w:r>
        <w:t xml:space="preserve">by Lambert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@Lambert2005</w:t>
      </w:r>
      <w:r>
        <w:t xml:space="preserve">.</w:t>
      </w:r>
    </w:p>
    <w:p>
      <w:pPr>
        <w:pStyle w:val="BodyText"/>
      </w:pPr>
      <w:r>
        <w:t xml:space="preserve">We created an input file for the NFIS biomass calculator that included</w:t>
      </w:r>
      <w:r>
        <w:t xml:space="preserve"> </w:t>
      </w:r>
      <w:r>
        <w:t xml:space="preserve">all 125 unique combinations of species, ecozone, DBH, and height</w:t>
      </w:r>
      <w:r>
        <w:t xml:space="preserve"> </w:t>
      </w:r>
      <w:r>
        <w:t xml:space="preserve">assigned to the townships in the previous sub-sub-section (</w:t>
      </w:r>
      <w:r>
        <w:rPr>
          <w:bCs/>
          <w:b/>
        </w:rPr>
        <w:t xml:space="preserve">Create cross-references</w:t>
      </w:r>
      <w:r>
        <w:t xml:space="preserve">).</w:t>
      </w:r>
    </w:p>
    <w:p>
      <w:pPr>
        <w:pStyle w:val="BodyText"/>
      </w:pPr>
      <w:r>
        <w:t xml:space="preserve">We assume that the residual biomass is in the stem wood and stem bark from the</w:t>
      </w:r>
      <w:r>
        <w:t xml:space="preserve"> </w:t>
      </w:r>
      <w:r>
        <w:t xml:space="preserve">tops of the harvested trees and the branches and foliage. The residual biomass</w:t>
      </w:r>
      <w:r>
        <w:t xml:space="preserve"> </w:t>
      </w:r>
      <w:r>
        <w:t xml:space="preserve">from the tops is calculated using the total biomass of stem wood and stem bark</w:t>
      </w:r>
      <w:r>
        <w:t xml:space="preserve"> </w:t>
      </w:r>
      <w:r>
        <w:t xml:space="preserve">adjusted by the volume proportions calculated above.</w:t>
      </w:r>
    </w:p>
    <w:bookmarkEnd w:id="39"/>
    <w:bookmarkEnd w:id="40"/>
    <w:bookmarkStart w:id="41" w:name="X3462ee9f66e57a9d471ec8226d871a6d89dcc54"/>
    <w:p>
      <w:pPr>
        <w:pStyle w:val="Heading2"/>
      </w:pPr>
      <w:r>
        <w:t xml:space="preserve">Spatial variability in residual biomass production</w:t>
      </w:r>
    </w:p>
    <w:p>
      <w:pPr>
        <w:pStyle w:val="FirstParagraph"/>
      </w:pPr>
      <w:r>
        <w:t xml:space="preserve">There is considerable spatial variability in the amount of timber</w:t>
      </w:r>
      <w:r>
        <w:t xml:space="preserve"> </w:t>
      </w:r>
      <w:r>
        <w:t xml:space="preserve">harvest residues available for biomass collection. The variability</w:t>
      </w:r>
      <w:r>
        <w:t xml:space="preserve"> </w:t>
      </w:r>
      <w:r>
        <w:t xml:space="preserve">relates to the distribution of harvested species and age classes</w:t>
      </w:r>
      <w:r>
        <w:t xml:space="preserve"> </w:t>
      </w:r>
      <w:r>
        <w:t xml:space="preserve">across the landscape, to the timber harvesting practices of different</w:t>
      </w:r>
      <w:r>
        <w:t xml:space="preserve"> </w:t>
      </w:r>
      <w:r>
        <w:t xml:space="preserve">operators, and to other factors. We used the 250 m resolution raster</w:t>
      </w:r>
      <w:r>
        <w:t xml:space="preserve"> </w:t>
      </w:r>
      <w:r>
        <w:t xml:space="preserve">maps of Canada’s forest attributes for 2011 from Natural Resources</w:t>
      </w:r>
      <w:r>
        <w:t xml:space="preserve"> </w:t>
      </w:r>
      <w:r>
        <w:t xml:space="preserve">Canada</w:t>
      </w:r>
      <w:r>
        <w:t xml:space="preserve"> </w:t>
      </w:r>
      <w:r>
        <w:t xml:space="preserve">@Beaudoin2017</w:t>
      </w:r>
      <w:r>
        <w:t xml:space="preserve"> </w:t>
      </w:r>
      <w:r>
        <w:t xml:space="preserve">to retrieve information on species composition,</w:t>
      </w:r>
      <w:r>
        <w:t xml:space="preserve"> </w:t>
      </w:r>
      <w:r>
        <w:t xml:space="preserve">age classes, and merchantable volume. The data were clipped to the</w:t>
      </w:r>
      <w:r>
        <w:t xml:space="preserve"> </w:t>
      </w:r>
      <w:r>
        <w:t xml:space="preserve">Alberta boundary. Merchantable volumes for Alberta in this dataset</w:t>
      </w:r>
      <w:r>
        <w:t xml:space="preserve"> </w:t>
      </w:r>
      <w:r>
        <w:t xml:space="preserve">were compiled to the 13+/7 cm utilization standard, meaning that stump</w:t>
      </w:r>
      <w:r>
        <w:t xml:space="preserve"> </w:t>
      </w:r>
      <w:r>
        <w:t xml:space="preserve">height for each merchantable tree was assumed to be 30 cm, that stump</w:t>
      </w:r>
      <w:r>
        <w:t xml:space="preserve"> </w:t>
      </w:r>
      <w:r>
        <w:t xml:space="preserve">diameter (outside bark) was at least 13 cm, and that the length of the</w:t>
      </w:r>
      <w:r>
        <w:t xml:space="preserve"> </w:t>
      </w:r>
      <w:r>
        <w:t xml:space="preserve">log to a 7 cm inside bark diameter was at least 4.88 m. This is one</w:t>
      </w:r>
      <w:r>
        <w:t xml:space="preserve"> </w:t>
      </w:r>
      <w:r>
        <w:t xml:space="preserve">of the utilization standards used in Alberta and was the one used for</w:t>
      </w:r>
      <w:r>
        <w:t xml:space="preserve"> </w:t>
      </w:r>
      <w:r>
        <w:t xml:space="preserve">Alberta data in Canada’s National Forest Inventory (NFI henceforth)</w:t>
      </w:r>
      <w:r>
        <w:t xml:space="preserve"> </w:t>
      </w:r>
      <w:r>
        <w:t xml:space="preserve">@Boudewyn2007</w:t>
      </w:r>
      <w:r>
        <w:t xml:space="preserve">.</w:t>
      </w:r>
    </w:p>
    <w:p>
      <w:pPr>
        <w:pStyle w:val="BodyText"/>
      </w:pPr>
      <w:r>
        <w:t xml:space="preserve">Forestry companies are selective in the stands they harvest. Some</w:t>
      </w:r>
      <w:r>
        <w:t xml:space="preserve"> </w:t>
      </w:r>
      <w:r>
        <w:t xml:space="preserve">stands will be comprised of undesirable species. The most</w:t>
      </w:r>
      <w:r>
        <w:t xml:space="preserve"> </w:t>
      </w:r>
      <w:r>
        <w:t xml:space="preserve">commercially important needleleaf species in Alberta are white spruce</w:t>
      </w:r>
      <w:r>
        <w:t xml:space="preserve"> </w:t>
      </w:r>
      <w:r>
        <w:t xml:space="preserve">(</w:t>
      </w:r>
      <w:r>
        <w:rPr>
          <w:iCs/>
          <w:i/>
        </w:rPr>
        <w:t xml:space="preserve">Picea glauca</w:t>
      </w:r>
      <w:r>
        <w:t xml:space="preserve"> </w:t>
      </w:r>
      <w:r>
        <w:t xml:space="preserve">(Moench) Voss), lodgepole pine (</w:t>
      </w:r>
      <w:r>
        <w:rPr>
          <w:iCs/>
          <w:i/>
        </w:rPr>
        <w:t xml:space="preserve">Pinus contorta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latifolia</w:t>
      </w:r>
      <w:r>
        <w:t xml:space="preserve"> </w:t>
      </w:r>
      <w:r>
        <w:t xml:space="preserve">Engelm.) and jack pine (</w:t>
      </w:r>
      <w:r>
        <w:rPr>
          <w:iCs/>
          <w:i/>
        </w:rPr>
        <w:t xml:space="preserve">Pinus banksiana</w:t>
      </w:r>
      <w:r>
        <w:t xml:space="preserve"> </w:t>
      </w:r>
      <w:r>
        <w:t xml:space="preserve">Lamb.).</w:t>
      </w:r>
      <w:r>
        <w:t xml:space="preserve"> </w:t>
      </w:r>
      <w:r>
        <w:t xml:space="preserve">Trembling aspen (</w:t>
      </w:r>
      <w:r>
        <w:rPr>
          <w:iCs/>
          <w:i/>
        </w:rPr>
        <w:t xml:space="preserve">Populus tremuloides</w:t>
      </w:r>
      <w:r>
        <w:t xml:space="preserve"> </w:t>
      </w:r>
      <w:r>
        <w:t xml:space="preserve">Michx.) is the most</w:t>
      </w:r>
      <w:r>
        <w:t xml:space="preserve"> </w:t>
      </w:r>
      <w:r>
        <w:t xml:space="preserve">commercially important broadleaf species. Some stands may have too</w:t>
      </w:r>
      <w:r>
        <w:t xml:space="preserve"> </w:t>
      </w:r>
      <w:r>
        <w:t xml:space="preserve">little volume to be worth harvesting. Some stands may be too young.</w:t>
      </w:r>
      <w:r>
        <w:t xml:space="preserve"> </w:t>
      </w:r>
      <w:r>
        <w:t xml:space="preserve">We selected cells that contained at least 50 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of merchantable</w:t>
      </w:r>
      <w:r>
        <w:t xml:space="preserve"> </w:t>
      </w:r>
      <w:r>
        <w:t xml:space="preserve">volume, as that corresponds with merchantability limits specified in</w:t>
      </w:r>
      <w:r>
        <w:t xml:space="preserve"> </w:t>
      </w:r>
      <w:r>
        <w:t xml:space="preserve">Alberta</w:t>
      </w:r>
      <w:r>
        <w:t xml:space="preserve"> </w:t>
      </w:r>
      <w:r>
        <w:t xml:space="preserve">@Alberta2016</w:t>
      </w:r>
      <w:r>
        <w:t xml:space="preserve">. We filtered out cells with more than 50% crown</w:t>
      </w:r>
      <w:r>
        <w:t xml:space="preserve"> </w:t>
      </w:r>
      <w:r>
        <w:t xml:space="preserve">closure of larch (</w:t>
      </w:r>
      <w:r>
        <w:rPr>
          <w:iCs/>
          <w:i/>
        </w:rPr>
        <w:t xml:space="preserve">Larix spp.</w:t>
      </w:r>
      <w:r>
        <w:t xml:space="preserve"> </w:t>
      </w:r>
      <w:r>
        <w:t xml:space="preserve">Mill.) and birch (</w:t>
      </w:r>
      <w:r>
        <w:rPr>
          <w:iCs/>
          <w:i/>
        </w:rPr>
        <w:t xml:space="preserve">Betula spp.</w:t>
      </w:r>
      <w:r>
        <w:t xml:space="preserve"> </w:t>
      </w:r>
      <w:r>
        <w:t xml:space="preserve">L.)</w:t>
      </w:r>
      <w:r>
        <w:t xml:space="preserve"> </w:t>
      </w:r>
      <w:r>
        <w:t xml:space="preserve">combined as those genera are rarely harvested at a commercial scale in</w:t>
      </w:r>
      <w:r>
        <w:t xml:space="preserve"> </w:t>
      </w:r>
      <w:r>
        <w:t xml:space="preserve">Alberta. We filtered out cells with stand age less than 80 years as</w:t>
      </w:r>
      <w:r>
        <w:t xml:space="preserve"> </w:t>
      </w:r>
      <w:r>
        <w:t xml:space="preserve">it is unusual to harvest stands younger than that in Alberta. QGIS</w:t>
      </w:r>
      <w:r>
        <w:t xml:space="preserve"> </w:t>
      </w:r>
      <w:r>
        <w:t xml:space="preserve">zonal statistics were used to average the merchantable volume per ha</w:t>
      </w:r>
      <w:r>
        <w:t xml:space="preserve"> </w:t>
      </w:r>
      <w:r>
        <w:t xml:space="preserve">of the merchantable cells in each township.</w:t>
      </w:r>
    </w:p>
    <w:p>
      <w:pPr>
        <w:pStyle w:val="BodyText"/>
      </w:pPr>
      <w:r>
        <w:t xml:space="preserve">Then for each township, we determined the most common needleleaf and</w:t>
      </w:r>
      <w:r>
        <w:t xml:space="preserve"> </w:t>
      </w:r>
      <w:r>
        <w:t xml:space="preserve">broadleaf species, and calculated the average volume per hectare of</w:t>
      </w:r>
      <w:r>
        <w:t xml:space="preserve"> </w:t>
      </w:r>
      <w:r>
        <w:t xml:space="preserve">needleleaf and broadleaf these harvestable stands.</w:t>
      </w:r>
    </w:p>
    <w:p>
      <w:pPr>
        <w:pStyle w:val="BodyText"/>
      </w:pPr>
      <w:r>
        <w:t xml:space="preserve">These average volumes are still considerably less than the average</w:t>
      </w:r>
      <w:r>
        <w:t xml:space="preserve"> </w:t>
      </w:r>
      <w:r>
        <w:t xml:space="preserve">volume per hectare harvested in Alberta, indicating that the forestry</w:t>
      </w:r>
      <w:r>
        <w:t xml:space="preserve"> </w:t>
      </w:r>
      <w:r>
        <w:t xml:space="preserve">companies are even more selective about timber harvest than our simple</w:t>
      </w:r>
      <w:r>
        <w:t xml:space="preserve"> </w:t>
      </w:r>
      <w:r>
        <w:t xml:space="preserve">filter rules suggest.</w:t>
      </w:r>
    </w:p>
    <w:p>
      <w:pPr>
        <w:pStyle w:val="BodyText"/>
      </w:pPr>
      <w:r>
        <w:t xml:space="preserve">Based on data retrieved from the National Forestry Database, the</w:t>
      </w:r>
      <w:r>
        <w:t xml:space="preserve"> </w:t>
      </w:r>
      <w:r>
        <w:t xml:space="preserve">average harvest volume in Alberta between 1990 and 2015 was 277.8</w:t>
      </w:r>
      <w:r>
        <w:t xml:space="preserve"> </w:t>
      </w:r>
      <w:r>
        <w:t xml:space="preserve">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@CCFM2020</w:t>
      </w:r>
      <w:r>
        <w:t xml:space="preserve">. The average township volume after the filter</w:t>
      </w:r>
      <w:r>
        <w:t xml:space="preserve"> </w:t>
      </w:r>
      <w:r>
        <w:t xml:space="preserve">was applied was 100.3 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. We used a harvest volume adjustment</w:t>
      </w:r>
      <w:r>
        <w:t xml:space="preserve"> </w:t>
      </w:r>
      <w:r>
        <w:t xml:space="preserve">factor of 2.77 to make the volumes we</w:t>
      </w:r>
      <w:r>
        <w:t xml:space="preserve"> </w:t>
      </w:r>
      <w:r>
        <w:t xml:space="preserve">calculated comparable to the average harvest volume (m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) for Alberta.</w:t>
      </w:r>
    </w:p>
    <w:bookmarkEnd w:id="41"/>
    <w:bookmarkStart w:id="42" w:name="residue-yield-mgha-1-by-township."/>
    <w:p>
      <w:pPr>
        <w:pStyle w:val="Heading2"/>
      </w:pPr>
      <w:r>
        <w:t xml:space="preserve">Residue yield (Mg·ha</w:t>
      </w:r>
      <w:r>
        <w:rPr>
          <w:vertAlign w:val="superscript"/>
        </w:rPr>
        <w:t xml:space="preserve">-1</w:t>
      </w:r>
      <w:r>
        <w:t xml:space="preserve">) by township.</w:t>
      </w:r>
    </w:p>
    <w:p>
      <w:pPr>
        <w:pStyle w:val="FirstParagraph"/>
      </w:pPr>
      <w:r>
        <w:t xml:space="preserve">For each township, we calculate the number of stems by dividing the</w:t>
      </w:r>
      <w:r>
        <w:t xml:space="preserve"> </w:t>
      </w:r>
      <w:r>
        <w:t xml:space="preserve">adjusted volume per hectare by the average piece size for both</w:t>
      </w:r>
      <w:r>
        <w:t xml:space="preserve"> </w:t>
      </w:r>
      <w:r>
        <w:t xml:space="preserve">needleleaf and broadleaf trees. We assume that for the types of</w:t>
      </w:r>
      <w:r>
        <w:t xml:space="preserve"> </w:t>
      </w:r>
      <w:r>
        <w:t xml:space="preserve">stands being harvested that the stem count per hectre for the 13/+7</w:t>
      </w:r>
      <w:r>
        <w:t xml:space="preserve"> </w:t>
      </w:r>
      <w:r>
        <w:t xml:space="preserve">utilization standard is close to the stem count based on the FMU</w:t>
      </w:r>
      <w:r>
        <w:t xml:space="preserve"> </w:t>
      </w:r>
      <w:r>
        <w:t xml:space="preserve">utilization standard. We multiply the stem count by the average tree</w:t>
      </w:r>
      <w:r>
        <w:t xml:space="preserve"> </w:t>
      </w:r>
      <w:r>
        <w:t xml:space="preserve">residual biomass. We assume an average recovery factor of 0.624</w:t>
      </w:r>
      <w:r>
        <w:t xml:space="preserve"> </w:t>
      </w:r>
      <w:r>
        <w:t xml:space="preserve">following what Peltola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@Peltola2011</w:t>
      </w:r>
      <w:r>
        <w:t xml:space="preserve"> </w:t>
      </w:r>
      <w:r>
        <w:t xml:space="preserve">determined for Finland,</w:t>
      </w:r>
      <w:r>
        <w:t xml:space="preserve"> </w:t>
      </w:r>
      <w:r>
        <w:t xml:space="preserve">recognizing that some of the residual biomass will be unrecoverable.</w:t>
      </w:r>
      <w:r>
        <w:t xml:space="preserve"> </w:t>
      </w:r>
      <w:r>
        <w:t xml:space="preserve">Together this gives us an estimate of the average residue yield when a</w:t>
      </w:r>
      <w:r>
        <w:t xml:space="preserve"> </w:t>
      </w:r>
      <w:r>
        <w:t xml:space="preserve">hectare of a stand in a particular township is harvested.</w:t>
      </w:r>
    </w:p>
    <w:bookmarkEnd w:id="42"/>
    <w:bookmarkStart w:id="43" w:name="the-model"/>
    <w:p>
      <w:pPr>
        <w:pStyle w:val="Heading2"/>
      </w:pPr>
      <w:r>
        <w:t xml:space="preserve">The model</w:t>
      </w:r>
    </w:p>
    <w:p>
      <w:pPr>
        <w:pStyle w:val="FirstParagraph"/>
      </w:pPr>
      <w:r>
        <w:t xml:space="preserve">The bulk of the effort expended on this study was spent in creating</w:t>
      </w:r>
      <w:r>
        <w:t xml:space="preserve"> </w:t>
      </w:r>
      <w:r>
        <w:t xml:space="preserve">township-level summaries for use by the model. The model itself is</w:t>
      </w:r>
      <w:r>
        <w:t xml:space="preserve"> </w:t>
      </w:r>
      <w:r>
        <w:t xml:space="preserve">very simple. We assume that the residue collectors follow a kind of</w:t>
      </w:r>
      <w:r>
        <w:t xml:space="preserve"> </w:t>
      </w:r>
      <w:r>
        <w:t xml:space="preserve">greedy optimization. They take the cheapest residue first, and stop</w:t>
      </w:r>
      <w:r>
        <w:t xml:space="preserve"> </w:t>
      </w:r>
      <w:r>
        <w:t xml:space="preserve">when they reach plant capacity. For each combination of plant location</w:t>
      </w:r>
      <w:r>
        <w:t xml:space="preserve"> </w:t>
      </w:r>
      <w:r>
        <w:t xml:space="preserve">and year, all the townships in Alberta were sorted by ascending cycle</w:t>
      </w:r>
      <w:r>
        <w:t xml:space="preserve"> </w:t>
      </w:r>
      <w:r>
        <w:t xml:space="preserve">time (equivalently tranport cost). The model works through this list,</w:t>
      </w:r>
      <w:r>
        <w:t xml:space="preserve"> </w:t>
      </w:r>
      <w:r>
        <w:t xml:space="preserve">cumulating harvest residue recovered from the harvest area associated</w:t>
      </w:r>
      <w:r>
        <w:t xml:space="preserve"> </w:t>
      </w:r>
      <w:r>
        <w:t xml:space="preserve">for the township and year, and provided a file showing cycle time,</w:t>
      </w:r>
      <w:r>
        <w:t xml:space="preserve"> </w:t>
      </w:r>
      <w:r>
        <w:t xml:space="preserve">total cost, and cumulative residue recoverd. Once this file is</w:t>
      </w:r>
      <w:r>
        <w:t xml:space="preserve"> </w:t>
      </w:r>
      <w:r>
        <w:t xml:space="preserve">created, fairly simple data manipulations are undertaken to produce</w:t>
      </w:r>
      <w:r>
        <w:t xml:space="preserve"> </w:t>
      </w:r>
      <w:r>
        <w:t xml:space="preserve">the results.</w:t>
      </w:r>
    </w:p>
    <w:p>
      <w:pPr>
        <w:pStyle w:val="BodyText"/>
      </w:pPr>
      <w:r>
        <w:t xml:space="preserve">As with all models, this is a simplification. One avenue that we</w:t>
      </w:r>
      <w:r>
        <w:t xml:space="preserve"> </w:t>
      </w:r>
      <w:r>
        <w:t xml:space="preserve">would like to explore in future work is incorporation of the costs of</w:t>
      </w:r>
      <w:r>
        <w:t xml:space="preserve"> </w:t>
      </w:r>
      <w:r>
        <w:t xml:space="preserve">moving equipment from one cutblock to the next.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Removed 6 row(s) containing missing values (geom_path).</w:t>
      </w:r>
    </w:p>
    <w:bookmarkEnd w:id="43"/>
    <w:bookmarkEnd w:id="44"/>
    <w:bookmarkStart w:id="48" w:name="results-and-discussion"/>
    <w:p>
      <w:pPr>
        <w:pStyle w:val="Heading1"/>
      </w:pPr>
      <w:r>
        <w:t xml:space="preserve">Results and discussion</w:t>
      </w:r>
    </w:p>
    <w:bookmarkStart w:id="45" w:name="the-volume-adjustment-factor"/>
    <w:p>
      <w:pPr>
        <w:pStyle w:val="Heading2"/>
      </w:pPr>
      <w:r>
        <w:t xml:space="preserve">The volume adjustment factor</w:t>
      </w:r>
    </w:p>
    <w:p>
      <w:pPr>
        <w:pStyle w:val="FirstParagraph"/>
      </w:pPr>
      <w:r>
        <w:t xml:space="preserve">As a check, we obtained harvest volumes from Alberta for the period</w:t>
      </w:r>
      <w:r>
        <w:t xml:space="preserve"> </w:t>
      </w:r>
      <w:r>
        <w:t xml:space="preserve">1990-2015 from the national forestry database</w:t>
      </w:r>
      <w:r>
        <w:t xml:space="preserve"> </w:t>
      </w:r>
      <w:r>
        <w:t xml:space="preserve">@CCFM2021</w:t>
      </w:r>
      <w:r>
        <w:t xml:space="preserve">. Note that in</w:t>
      </w:r>
      <w:r>
        <w:t xml:space="preserve"> </w:t>
      </w:r>
      <w:r>
        <w:t xml:space="preserve">1998, industrial salvage volumes of 369 791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of softwood and 264</w:t>
      </w:r>
      <w:r>
        <w:t xml:space="preserve"> </w:t>
      </w:r>
      <w:r>
        <w:t xml:space="preserve">647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are not included in the harvest levels shown in the graph.</w:t>
      </w:r>
    </w:p>
    <w:bookmarkEnd w:id="45"/>
    <w:bookmarkStart w:id="46" w:name="township-level-biomass"/>
    <w:p>
      <w:pPr>
        <w:pStyle w:val="Heading2"/>
      </w:pPr>
      <w:r>
        <w:t xml:space="preserve">Township level biomass</w:t>
      </w:r>
    </w:p>
    <w:bookmarkEnd w:id="46"/>
    <w:bookmarkStart w:id="47" w:name="distributional-results"/>
    <w:p>
      <w:pPr>
        <w:pStyle w:val="Heading2"/>
      </w:pPr>
      <w:r>
        <w:t xml:space="preserve">Distributional results</w:t>
      </w:r>
    </w:p>
    <w:p>
      <w:pPr>
        <w:pStyle w:val="FirstParagraph"/>
      </w:pPr>
      <w:r>
        <w:t xml:space="preserve">Figures 9 and 10 display marginal cycle time (h) and marginal costs</w:t>
      </w:r>
      <w:r>
        <w:t xml:space="preserve"> </w:t>
      </w:r>
      <w:r>
        <w:t xml:space="preserve">($·Mg</w:t>
      </w:r>
      <w:r>
        <w:rPr>
          <w:vertAlign w:val="superscript"/>
        </w:rPr>
        <w:t xml:space="preserve">-1</w:t>
      </w:r>
      <w:r>
        <w:t xml:space="preserve">) for each of the 26 years in the study period, and for the 3</w:t>
      </w:r>
      <w:r>
        <w:t xml:space="preserve"> </w:t>
      </w:r>
      <w:r>
        <w:t xml:space="preserve">alternative plant locations. Curves for 1990, 2009, and 2005 are</w:t>
      </w:r>
      <w:r>
        <w:t xml:space="preserve"> </w:t>
      </w:r>
      <w:r>
        <w:t xml:space="preserve">highlighted represented the years of minimum, median, and maximum</w:t>
      </w:r>
      <w:r>
        <w:t xml:space="preserve"> </w:t>
      </w:r>
      <w:r>
        <w:t xml:space="preserve">provincial harvest volume in the period. The inter-year variation in</w:t>
      </w:r>
      <w:r>
        <w:t xml:space="preserve"> </w:t>
      </w:r>
      <w:r>
        <w:t xml:space="preserve">marginal costs increases as the cumulative amount of residue collected</w:t>
      </w:r>
      <w:r>
        <w:t xml:space="preserve"> </w:t>
      </w:r>
      <w:r>
        <w:t xml:space="preserve">increases. We can also see that the relative position of the years in</w:t>
      </w:r>
      <w:r>
        <w:t xml:space="preserve"> </w:t>
      </w:r>
      <w:r>
        <w:t xml:space="preserve">terms of cost varies between the plant locations: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the year 2005</w:t>
      </w:r>
      <w:r>
        <w:t xml:space="preserve"> </w:t>
      </w:r>
      <w:r>
        <w:t xml:space="preserve">is not as good for Hinton, as it was for Edson and Whitecourt.</w:t>
      </w:r>
    </w:p>
    <w:p>
      <w:pPr>
        <w:pStyle w:val="BodyText"/>
      </w:pPr>
      <w:r>
        <w:t xml:space="preserve">Figure 11 is another way of presenting the year to year variation in</w:t>
      </w:r>
      <w:r>
        <w:t xml:space="preserve"> </w:t>
      </w:r>
      <w:r>
        <w:t xml:space="preserve">the distribution of costs between the plant locations and assumed</w:t>
      </w:r>
      <w:r>
        <w:t xml:space="preserve"> </w:t>
      </w:r>
      <w:r>
        <w:t xml:space="preserve">capacity: the boxplots display the quartiles and the minimum and</w:t>
      </w:r>
      <w:r>
        <w:t xml:space="preserve"> </w:t>
      </w:r>
      <w:r>
        <w:t xml:space="preserve">maximum costs require to supply a plant of a given capacity at each of</w:t>
      </w:r>
      <w:r>
        <w:t xml:space="preserve"> </w:t>
      </w:r>
      <w:r>
        <w:t xml:space="preserve">the locations in each of the years. Here again, we can see the</w:t>
      </w:r>
      <w:r>
        <w:t xml:space="preserve"> </w:t>
      </w:r>
      <w:r>
        <w:t xml:space="preserve">variability increasing as plant capacity increases.</w:t>
      </w:r>
    </w:p>
    <w:p>
      <w:pPr>
        <w:pStyle w:val="BodyText"/>
      </w:pPr>
      <w:r>
        <w:t xml:space="preserve">Figure 12 shows the average cost ($·Mg</w:t>
      </w:r>
      <w:r>
        <w:rPr>
          <w:vertAlign w:val="superscript"/>
        </w:rPr>
        <w:t xml:space="preserve">-1</w:t>
      </w:r>
      <w:r>
        <w:t xml:space="preserve">) for each location,</w:t>
      </w:r>
      <w:r>
        <w:t xml:space="preserve"> </w:t>
      </w:r>
      <w:r>
        <w:t xml:space="preserve">capacity, and year. Overall, the average costs in Edson and</w:t>
      </w:r>
      <w:r>
        <w:t xml:space="preserve"> </w:t>
      </w:r>
      <w:r>
        <w:t xml:space="preserve">Whitecourt are quite similar. Hinton is usually more expensive across</w:t>
      </w:r>
      <w:r>
        <w:t xml:space="preserve"> </w:t>
      </w:r>
      <w:r>
        <w:t xml:space="preserve">years and capacities. The differences become clearer at a capacity of</w:t>
      </w:r>
      <w:r>
        <w:t xml:space="preserve"> </w:t>
      </w:r>
      <w:r>
        <w:t xml:space="preserve">800 Gg, where Whitecourt is the low cost location for most of the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Table 2 presents summary statistics over the 26 year for the locations</w:t>
      </w:r>
      <w:r>
        <w:t xml:space="preserve"> </w:t>
      </w:r>
      <w:r>
        <w:t xml:space="preserve">and capacities. It is clear that average costs and the inter-annual</w:t>
      </w:r>
      <w:r>
        <w:t xml:space="preserve"> </w:t>
      </w:r>
      <w:r>
        <w:t xml:space="preserve">variability of costs increase with increasing capacity. It is clear</w:t>
      </w:r>
      <w:r>
        <w:t xml:space="preserve"> </w:t>
      </w:r>
      <w:r>
        <w:t xml:space="preserve">that the variation is costs for Hinton is greater than for Whitecourt</w:t>
      </w:r>
      <w:r>
        <w:t xml:space="preserve"> </w:t>
      </w:r>
      <w:r>
        <w:t xml:space="preserve">and Edson, particularly for the 800 Gg/a capacities.</w:t>
      </w:r>
    </w:p>
    <w:p>
      <w:pPr>
        <w:pStyle w:val="BodyText"/>
      </w:pPr>
      <w:r>
        <w:t xml:space="preserve">Figure 13 shows the areas that would have been needed to supply a</w:t>
      </w:r>
      <w:r>
        <w:t xml:space="preserve"> </w:t>
      </w:r>
      <w:r>
        <w:t xml:space="preserve">plants of varying capacities in Whitecourt in the year of median</w:t>
      </w:r>
      <w:r>
        <w:t xml:space="preserve"> </w:t>
      </w:r>
      <w:r>
        <w:t xml:space="preserve">harvest (2009) in relation to the proportional township area</w:t>
      </w:r>
      <w:r>
        <w:t xml:space="preserve"> </w:t>
      </w:r>
      <w:r>
        <w:t xml:space="preserve">harvested. There is some residue being collected from the White area,</w:t>
      </w:r>
      <w:r>
        <w:t xml:space="preserve"> </w:t>
      </w:r>
      <w:r>
        <w:t xml:space="preserve">but most of it is being collected from the green area.</w:t>
      </w:r>
    </w:p>
    <w:p>
      <w:pPr>
        <w:pStyle w:val="BodyText"/>
      </w:pPr>
      <w:r>
        <w:t xml:space="preserve">Figure 14 compares the supply areas for 2005, 2009, and 1990 (high,</w:t>
      </w:r>
      <w:r>
        <w:t xml:space="preserve"> </w:t>
      </w:r>
      <w:r>
        <w:t xml:space="preserve">median, and low harvest years) for Whitecourt. The area required to</w:t>
      </w:r>
      <w:r>
        <w:t xml:space="preserve"> </w:t>
      </w:r>
      <w:r>
        <w:t xml:space="preserve">supply the mills increases by a lot in low timber harvest years,</w:t>
      </w:r>
      <w:r>
        <w:t xml:space="preserve"> </w:t>
      </w:r>
      <w:r>
        <w:t xml:space="preserve">particularly for the 800 Gg/a capacity. Similar maps have produced</w:t>
      </w:r>
      <w:r>
        <w:t xml:space="preserve"> </w:t>
      </w:r>
      <w:r>
        <w:t xml:space="preserve">for the other locations and all 26 years and are available at the</w:t>
      </w:r>
      <w:r>
        <w:t xml:space="preserve"> </w:t>
      </w:r>
      <w:r>
        <w:t xml:space="preserve">University of Alberta’s Education and Research Archive (ERA).</w:t>
      </w:r>
      <w:r>
        <w:t xml:space="preserve"> </w:t>
      </w:r>
      <w:r>
        <w:rPr>
          <w:bCs/>
          <w:b/>
        </w:rPr>
        <w:t xml:space="preserve">cite</w:t>
      </w:r>
      <w:r>
        <w:t xml:space="preserve"> </w:t>
      </w:r>
      <w:r>
        <w:t xml:space="preserve">Notice that the supply areas include areas outside the Green</w:t>
      </w:r>
      <w:r>
        <w:t xml:space="preserve"> </w:t>
      </w:r>
      <w:r>
        <w:t xml:space="preserve">Area with very little harvest. The contours indicate the travel time</w:t>
      </w:r>
      <w:r>
        <w:t xml:space="preserve"> </w:t>
      </w:r>
      <w:r>
        <w:t xml:space="preserve">associated with each of the capacities. Because of the cost of</w:t>
      </w:r>
      <w:r>
        <w:t xml:space="preserve"> </w:t>
      </w:r>
      <w:r>
        <w:t xml:space="preserve">moving equipment such as the grinder and loader, it is unlikely that</w:t>
      </w:r>
      <w:r>
        <w:t xml:space="preserve"> </w:t>
      </w:r>
      <w:r>
        <w:t xml:space="preserve">the small, dispersed cut area would be accessed, but the volumes are</w:t>
      </w:r>
      <w:r>
        <w:t xml:space="preserve"> </w:t>
      </w:r>
      <w:r>
        <w:t xml:space="preserve">small enough that we will ignore them.</w:t>
      </w:r>
    </w:p>
    <w:p>
      <w:pPr>
        <w:pStyle w:val="BodyText"/>
      </w:pPr>
      <w:r>
        <w:t xml:space="preserve">Whitecourt is low cost for most years at all capacities. Noticable spike in</w:t>
      </w:r>
      <w:r>
        <w:t xml:space="preserve"> </w:t>
      </w:r>
      <w:r>
        <w:t xml:space="preserve">1999. Probably due to Virginia Hills fire salvage. Note that this spike</w:t>
      </w:r>
      <w:r>
        <w:t xml:space="preserve"> </w:t>
      </w:r>
      <w:r>
        <w:t xml:space="preserve">also affects Hinton and Edson at 800 Gg/a capacity,</w:t>
      </w:r>
      <w:r>
        <w:t xml:space="preserve"> </w:t>
      </w:r>
      <w:r>
        <w:t xml:space="preserve">because they reach into the</w:t>
      </w:r>
      <w:r>
        <w:t xml:space="preserve"> </w:t>
      </w:r>
      <w:r>
        <w:t xml:space="preserve">Whitecourt area.</w:t>
      </w:r>
    </w:p>
    <w:p>
      <w:pPr>
        <w:pStyle w:val="BodyText"/>
      </w:pPr>
      <w:r>
        <w:t xml:space="preserve">As expected, residue costs are lower with lower capacities because</w:t>
      </w:r>
      <w:r>
        <w:t xml:space="preserve"> </w:t>
      </w:r>
      <w:r>
        <w:t xml:space="preserve">they don’t have to reach so far out.</w:t>
      </w:r>
    </w:p>
    <w:p>
      <w:pPr>
        <w:pStyle w:val="BodyText"/>
      </w:pPr>
      <w:r>
        <w:t xml:space="preserve">Overall, the results show that there is a high level of interannual</w:t>
      </w:r>
      <w:r>
        <w:t xml:space="preserve"> </w:t>
      </w:r>
      <w:r>
        <w:t xml:space="preserve">variability in the costs of retrieving a fixed amount of</w:t>
      </w:r>
      <w:r>
        <w:t xml:space="preserve"> </w:t>
      </w:r>
      <w:r>
        <w:t xml:space="preserve">biomass from timber harvesting residues. In our case, the variability</w:t>
      </w:r>
      <w:r>
        <w:t xml:space="preserve"> </w:t>
      </w:r>
      <w:r>
        <w:t xml:space="preserve">is related to the area and location of harvest and is tied directly to</w:t>
      </w:r>
      <w:r>
        <w:t xml:space="preserve"> </w:t>
      </w:r>
      <w:r>
        <w:t xml:space="preserve">transportation costs.</w:t>
      </w:r>
    </w:p>
    <w:bookmarkEnd w:id="47"/>
    <w:bookmarkEnd w:id="48"/>
    <w:bookmarkStart w:id="49" w:name="conclusions"/>
    <w:p>
      <w:pPr>
        <w:pStyle w:val="Heading1"/>
      </w:pPr>
      <w:r>
        <w:t xml:space="preserve">Conclusions</w:t>
      </w:r>
    </w:p>
    <w:p>
      <w:pPr>
        <w:numPr>
          <w:ilvl w:val="0"/>
          <w:numId w:val="1004"/>
        </w:numPr>
      </w:pPr>
      <w:r>
        <w:t xml:space="preserve">Spatial resolution between Yemshanov and FPInnovations</w:t>
      </w:r>
    </w:p>
    <w:p>
      <w:pPr>
        <w:numPr>
          <w:ilvl w:val="0"/>
          <w:numId w:val="1004"/>
        </w:numPr>
      </w:pPr>
      <w:r>
        <w:t xml:space="preserve">Demonstrated spatial and temporal variation in</w:t>
      </w:r>
      <w:r>
        <w:t xml:space="preserve"> </w:t>
      </w:r>
      <w:r>
        <w:t xml:space="preserve">availability of residue supply for plant</w:t>
      </w:r>
      <w:r>
        <w:t xml:space="preserve"> </w:t>
      </w:r>
      <w:r>
        <w:t xml:space="preserve">locations of different capacities. Mention average and marginal costs.</w:t>
      </w:r>
    </w:p>
    <w:p>
      <w:pPr>
        <w:numPr>
          <w:ilvl w:val="0"/>
          <w:numId w:val="1004"/>
        </w:numPr>
      </w:pPr>
      <w:r>
        <w:t xml:space="preserve">Demonstrated use of publicly available data to quantify this stuff.</w:t>
      </w:r>
    </w:p>
    <w:p>
      <w:pPr>
        <w:numPr>
          <w:ilvl w:val="0"/>
          <w:numId w:val="1004"/>
        </w:numPr>
      </w:pPr>
      <w:r>
        <w:t xml:space="preserve">Residue supply to large plants is more expensive and more variable than</w:t>
      </w:r>
      <w:r>
        <w:t xml:space="preserve"> </w:t>
      </w:r>
      <w:r>
        <w:t xml:space="preserve">to smaller plants.</w:t>
      </w:r>
    </w:p>
    <w:p>
      <w:pPr>
        <w:pStyle w:val="FirstParagraph"/>
      </w:pPr>
      <w:r>
        <w:t xml:space="preserve">Perhaps it makes sense to transport to smaller plants (e.g. pellets), and</w:t>
      </w:r>
      <w:r>
        <w:t xml:space="preserve"> </w:t>
      </w:r>
      <w:r>
        <w:t xml:space="preserve">then aggregate at a larger plant (e.g. ethanol). Pellets are cheaper to</w:t>
      </w:r>
      <w:r>
        <w:t xml:space="preserve"> </w:t>
      </w:r>
      <w:r>
        <w:t xml:space="preserve">transport than comminuted biomass.</w:t>
      </w:r>
    </w:p>
    <w:bookmarkEnd w:id="49"/>
    <w:bookmarkStart w:id="50" w:name="data-availability"/>
    <w:p>
      <w:pPr>
        <w:pStyle w:val="Heading1"/>
      </w:pPr>
      <w:r>
        <w:t xml:space="preserve">Data availability</w:t>
      </w:r>
    </w:p>
    <w:p>
      <w:pPr>
        <w:pStyle w:val="FirstParagraph"/>
      </w:pPr>
      <w:r>
        <w:t xml:space="preserve">The data compiled to the township level are currnently available on github(https://github.com/gwa-uab/histressup/tree/main/data).</w:t>
      </w:r>
      <w:r>
        <w:t xml:space="preserve"> </w:t>
      </w:r>
      <w:r>
        <w:t xml:space="preserve">Before publication it will be placed on ERA with a DOI.</w:t>
      </w:r>
    </w:p>
    <w:bookmarkEnd w:id="50"/>
    <w:bookmarkStart w:id="51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research was supported by funding from the Canada First Research Excellence</w:t>
      </w:r>
      <w:r>
        <w:t xml:space="preserve"> </w:t>
      </w:r>
      <w:r>
        <w:t xml:space="preserve">Fund as part of the University of Alberta’s Future Energy Systems</w:t>
      </w:r>
      <w:r>
        <w:t xml:space="preserve"> </w:t>
      </w:r>
      <w:r>
        <w:t xml:space="preserve">research initiative.</w:t>
      </w:r>
      <w:r>
        <w:t xml:space="preserve"> </w:t>
      </w:r>
    </w:p>
    <w:p>
      <w:pPr>
        <w:pStyle w:val="BodyText"/>
      </w:pPr>
      <w:r>
        <w:t xml:space="preserve">Dennis Gray contributed to data compilation.</w:t>
      </w:r>
    </w:p>
    <w:p>
      <w:pPr>
        <w:pStyle w:val="BodyText"/>
      </w:pPr>
      <w:r>
        <w:t xml:space="preserve">This work started as an extension to Irene Onyango’s Master of Agriculture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We work with a group of talented people. Thanks to Marty Luckert, Feng Qiu,</w:t>
      </w:r>
      <w:r>
        <w:t xml:space="preserve"> </w:t>
      </w:r>
      <w:r>
        <w:t xml:space="preserve">Grant Hauer, and Wenbei Zhang for helpful discussion.</w:t>
      </w:r>
    </w:p>
    <w:bookmarkEnd w:id="51"/>
    <w:bookmarkStart w:id="53" w:name="reference-list"/>
    <w:p>
      <w:pPr>
        <w:pStyle w:val="Heading1"/>
      </w:pPr>
      <w:r>
        <w:t xml:space="preserve">Reference list</w:t>
      </w:r>
    </w:p>
    <w:bookmarkStart w:id="52" w:name="refs"/>
    <w:bookmarkEnd w:id="52"/>
    <w:bookmarkEnd w:id="53"/>
    <w:bookmarkStart w:id="55" w:name="tables"/>
    <w:p>
      <w:pPr>
        <w:pStyle w:val="Heading1"/>
      </w:pPr>
      <w:r>
        <w:t xml:space="preserve">Tables</w:t>
      </w:r>
    </w:p>
    <w:p>
      <w:pPr>
        <w:pStyle w:val="FirstParagraph"/>
      </w:pPr>
      <w:r>
        <w:t xml:space="preserve">Table 1: Road speeds based on FPInnovations (km/h).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Road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loaded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unloaded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harmonic 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highways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paved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2-lane gravel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1-lane gravel or dirt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road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Table 2: Summary statistics.</w:t>
      </w:r>
    </w:p>
    <w:bookmarkStart w:id="54" w:name="xgyvzxgjdg"/>
    <w:p>
      <w:pPr>
        <w:pStyle w:val="BodyText"/>
      </w:pPr>
      <w:r>
        <w:t xml:space="preserve">summary stats</w:t>
      </w:r>
    </w:p>
    <w:p>
      <w:pPr>
        <w:pStyle w:val="BodyText"/>
      </w:pPr>
      <w:r>
        <w:t xml:space="preserve">Capacity (Gg/a)</w:t>
      </w:r>
    </w:p>
    <w:p>
      <w:pPr>
        <w:pStyle w:val="BodyText"/>
      </w:pPr>
      <w:r>
        <w:t xml:space="preserve">Mean (</w:t>
      </w:r>
      <w:r>
        <w:t xml:space="preserve">$/Mg&lt;/th&gt;  &lt;th class="gt_col_heading gt_columns_bottom_border gt_right" rowspan="1" colspan="1"&gt;Std. Dev. ($</w:t>
      </w:r>
      <w:r>
        <w:t xml:space="preserve">/Mg)</w:t>
      </w:r>
    </w:p>
    <w:p>
      <w:pPr>
        <w:pStyle w:val="BodyText"/>
      </w:pPr>
      <w:r>
        <w:t xml:space="preserve">C.V.</w:t>
      </w:r>
    </w:p>
    <w:p>
      <w:pPr>
        <w:pStyle w:val="BodyText"/>
      </w:pPr>
      <w:r>
        <w:t xml:space="preserve">Edson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87.0</w:t>
      </w:r>
    </w:p>
    <w:p>
      <w:pPr>
        <w:pStyle w:val="BodyText"/>
      </w:pPr>
      <w:r>
        <w:t xml:space="preserve">4.42</w:t>
      </w:r>
    </w:p>
    <w:p>
      <w:pPr>
        <w:pStyle w:val="BodyText"/>
      </w:pPr>
      <w:r>
        <w:t xml:space="preserve">0.0508</w:t>
      </w:r>
    </w:p>
    <w:p>
      <w:pPr>
        <w:pStyle w:val="BodyText"/>
      </w:pPr>
      <w:r>
        <w:t xml:space="preserve">400</w:t>
      </w:r>
    </w:p>
    <w:p>
      <w:pPr>
        <w:pStyle w:val="BodyText"/>
      </w:pPr>
      <w:r>
        <w:t xml:space="preserve">98.6</w:t>
      </w:r>
    </w:p>
    <w:p>
      <w:pPr>
        <w:pStyle w:val="BodyText"/>
      </w:pPr>
      <w:r>
        <w:t xml:space="preserve">5.94</w:t>
      </w:r>
    </w:p>
    <w:p>
      <w:pPr>
        <w:pStyle w:val="BodyText"/>
      </w:pPr>
      <w:r>
        <w:t xml:space="preserve">0.0603</w:t>
      </w:r>
    </w:p>
    <w:p>
      <w:pPr>
        <w:pStyle w:val="BodyText"/>
      </w:pPr>
      <w:r>
        <w:t xml:space="preserve">800</w:t>
      </w:r>
    </w:p>
    <w:p>
      <w:pPr>
        <w:pStyle w:val="BodyText"/>
      </w:pPr>
      <w:r>
        <w:t xml:space="preserve">128</w:t>
      </w:r>
    </w:p>
    <w:p>
      <w:pPr>
        <w:pStyle w:val="BodyText"/>
      </w:pPr>
      <w:r>
        <w:t xml:space="preserve">14.0</w:t>
      </w:r>
    </w:p>
    <w:p>
      <w:pPr>
        <w:pStyle w:val="BodyText"/>
      </w:pPr>
      <w:r>
        <w:t xml:space="preserve">0.109</w:t>
      </w:r>
    </w:p>
    <w:p>
      <w:pPr>
        <w:pStyle w:val="BodyText"/>
      </w:pPr>
      <w:r>
        <w:t xml:space="preserve">Hinton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87.5</w:t>
      </w:r>
    </w:p>
    <w:p>
      <w:pPr>
        <w:pStyle w:val="BodyText"/>
      </w:pPr>
      <w:r>
        <w:t xml:space="preserve">7.08</w:t>
      </w:r>
    </w:p>
    <w:p>
      <w:pPr>
        <w:pStyle w:val="BodyText"/>
      </w:pPr>
      <w:r>
        <w:t xml:space="preserve">0.0809</w:t>
      </w:r>
    </w:p>
    <w:p>
      <w:pPr>
        <w:pStyle w:val="BodyText"/>
      </w:pPr>
      <w:r>
        <w:t xml:space="preserve">400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8.44</w:t>
      </w:r>
    </w:p>
    <w:p>
      <w:pPr>
        <w:pStyle w:val="BodyText"/>
      </w:pPr>
      <w:r>
        <w:t xml:space="preserve">0.0804</w:t>
      </w:r>
    </w:p>
    <w:p>
      <w:pPr>
        <w:pStyle w:val="BodyText"/>
      </w:pPr>
      <w:r>
        <w:t xml:space="preserve">800</w:t>
      </w:r>
    </w:p>
    <w:p>
      <w:pPr>
        <w:pStyle w:val="BodyText"/>
      </w:pPr>
      <w:r>
        <w:t xml:space="preserve">138</w:t>
      </w:r>
    </w:p>
    <w:p>
      <w:pPr>
        <w:pStyle w:val="BodyText"/>
      </w:pPr>
      <w:r>
        <w:t xml:space="preserve">15.7</w:t>
      </w:r>
    </w:p>
    <w:p>
      <w:pPr>
        <w:pStyle w:val="BodyText"/>
      </w:pPr>
      <w:r>
        <w:t xml:space="preserve">0.113</w:t>
      </w:r>
    </w:p>
    <w:p>
      <w:pPr>
        <w:pStyle w:val="BodyText"/>
      </w:pPr>
      <w:r>
        <w:t xml:space="preserve">Whitecourt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87.6</w:t>
      </w:r>
    </w:p>
    <w:p>
      <w:pPr>
        <w:pStyle w:val="BodyText"/>
      </w:pPr>
      <w:r>
        <w:t xml:space="preserve">3.82</w:t>
      </w:r>
    </w:p>
    <w:p>
      <w:pPr>
        <w:pStyle w:val="BodyText"/>
      </w:pPr>
      <w:r>
        <w:t xml:space="preserve">0.0436</w:t>
      </w:r>
    </w:p>
    <w:p>
      <w:pPr>
        <w:pStyle w:val="BodyText"/>
      </w:pPr>
      <w:r>
        <w:t xml:space="preserve">400</w:t>
      </w:r>
    </w:p>
    <w:p>
      <w:pPr>
        <w:pStyle w:val="BodyText"/>
      </w:pPr>
      <w:r>
        <w:t xml:space="preserve">101</w:t>
      </w:r>
    </w:p>
    <w:p>
      <w:pPr>
        <w:pStyle w:val="BodyText"/>
      </w:pPr>
      <w:r>
        <w:t xml:space="preserve">5.41</w:t>
      </w:r>
    </w:p>
    <w:p>
      <w:pPr>
        <w:pStyle w:val="BodyText"/>
      </w:pPr>
      <w:r>
        <w:t xml:space="preserve">0.0537</w:t>
      </w:r>
    </w:p>
    <w:p>
      <w:pPr>
        <w:pStyle w:val="BodyText"/>
      </w:pPr>
      <w:r>
        <w:t xml:space="preserve">800</w:t>
      </w:r>
    </w:p>
    <w:p>
      <w:pPr>
        <w:pStyle w:val="BodyText"/>
      </w:pPr>
      <w:r>
        <w:t xml:space="preserve">122</w:t>
      </w:r>
    </w:p>
    <w:p>
      <w:pPr>
        <w:pStyle w:val="BodyText"/>
      </w:pPr>
      <w:r>
        <w:t xml:space="preserve">9.88</w:t>
      </w:r>
    </w:p>
    <w:p>
      <w:pPr>
        <w:pStyle w:val="BodyText"/>
      </w:pPr>
      <w:r>
        <w:t xml:space="preserve">0.0809</w:t>
      </w:r>
    </w:p>
    <w:bookmarkEnd w:id="54"/>
    <w:bookmarkEnd w:id="55"/>
    <w:bookmarkStart w:id="56" w:name="figures"/>
    <w:p>
      <w:pPr>
        <w:pStyle w:val="Heading1"/>
      </w:pPr>
      <w:r>
        <w:t xml:space="preserve">Figures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and temporal variability in economic availability of residual biomass from timber harvest in west-central Alberta, Canada (1990–2015)</dc:title>
  <dc:creator/>
  <cp:keywords/>
  <dcterms:created xsi:type="dcterms:W3CDTF">2021-11-18T19:31:48Z</dcterms:created>
  <dcterms:modified xsi:type="dcterms:W3CDTF">2021-11-18T19:31:48Z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historicalResidueSupply.bib</vt:lpwstr>
  </property>
  <property fmtid="{D5CDD505-2E9C-101B-9397-08002B2CF9AE}" pid="3" name="csl">
    <vt:lpwstr>biomass-and-bioenergy</vt:lpwstr>
  </property>
  <property fmtid="{D5CDD505-2E9C-101B-9397-08002B2CF9AE}" pid="4" name="date">
    <vt:lpwstr>2021-11-18</vt:lpwstr>
  </property>
  <property fmtid="{D5CDD505-2E9C-101B-9397-08002B2CF9AE}" pid="5" name="geometry">
    <vt:lpwstr>left=1.5in,right=0.5in,top=1in,bottom=1in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output">
    <vt:lpwstr/>
  </property>
</Properties>
</file>