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3410" w14:textId="77777777" w:rsidR="00316654" w:rsidRDefault="00316654" w:rsidP="00316654">
      <w:pPr>
        <w:pStyle w:val="Title"/>
      </w:pPr>
      <w:r>
        <w:t>Appendix</w:t>
      </w:r>
    </w:p>
    <w:p w14:paraId="0BA41C63" w14:textId="77777777" w:rsidR="00316654" w:rsidRPr="00F3776A" w:rsidRDefault="00316654" w:rsidP="00316654">
      <w:pPr>
        <w:pStyle w:val="BodyText"/>
      </w:pPr>
      <w:commentRangeStart w:id="0"/>
      <w:r>
        <w:t>A detailed description of all the work done would be boring….</w:t>
      </w:r>
      <w:commentRangeEnd w:id="0"/>
      <w:r>
        <w:rPr>
          <w:rStyle w:val="CommentReference"/>
        </w:rPr>
        <w:commentReference w:id="0"/>
      </w:r>
    </w:p>
    <w:p w14:paraId="31E1BBE3" w14:textId="77777777" w:rsidR="00316654" w:rsidRDefault="00316654" w:rsidP="00316654">
      <w:pPr>
        <w:pStyle w:val="Heading2"/>
        <w:numPr>
          <w:ilvl w:val="0"/>
          <w:numId w:val="2"/>
        </w:numPr>
      </w:pPr>
      <w:commentRangeStart w:id="1"/>
      <w:commentRangeStart w:id="2"/>
      <w:commentRangeStart w:id="3"/>
      <w:r>
        <w:t>Utilization standards</w:t>
      </w:r>
      <w:commentRangeEnd w:id="1"/>
      <w:r>
        <w:rPr>
          <w:rStyle w:val="CommentReference"/>
          <w:rFonts w:asciiTheme="minorHAnsi" w:eastAsiaTheme="minorHAnsi" w:hAnsiTheme="minorHAnsi" w:cstheme="minorBidi"/>
          <w:b w:val="0"/>
          <w:bCs w:val="0"/>
          <w:color w:val="auto"/>
        </w:rPr>
        <w:commentReference w:id="1"/>
      </w:r>
      <w:commentRangeEnd w:id="2"/>
      <w:r>
        <w:rPr>
          <w:rStyle w:val="CommentReference"/>
          <w:rFonts w:asciiTheme="minorHAnsi" w:eastAsiaTheme="minorHAnsi" w:hAnsiTheme="minorHAnsi" w:cstheme="minorBidi"/>
          <w:b w:val="0"/>
          <w:bCs w:val="0"/>
          <w:color w:val="auto"/>
        </w:rPr>
        <w:commentReference w:id="2"/>
      </w:r>
      <w:commentRangeEnd w:id="3"/>
      <w:r>
        <w:rPr>
          <w:rStyle w:val="CommentReference"/>
          <w:rFonts w:asciiTheme="minorHAnsi" w:eastAsiaTheme="minorHAnsi" w:hAnsiTheme="minorHAnsi" w:cstheme="minorBidi"/>
          <w:b w:val="0"/>
          <w:bCs w:val="0"/>
          <w:color w:val="auto"/>
        </w:rPr>
        <w:commentReference w:id="3"/>
      </w:r>
    </w:p>
    <w:p w14:paraId="3BF1B69A" w14:textId="2294EF66" w:rsidR="00316654" w:rsidRPr="00EE4D14" w:rsidRDefault="00316654" w:rsidP="00316654">
      <w:pPr>
        <w:pStyle w:val="BodyText"/>
      </w:pPr>
      <w:commentRangeStart w:id="4"/>
      <w:r w:rsidRPr="00EE4D14">
        <w:rPr>
          <w:rFonts w:cs="Times New Roman (Body CS)"/>
        </w:rPr>
        <w:t>For</w:t>
      </w:r>
      <w:commentRangeEnd w:id="4"/>
      <w:r w:rsidRPr="00EE4D14">
        <w:rPr>
          <w:rStyle w:val="CommentReference"/>
        </w:rPr>
        <w:commentReference w:id="4"/>
      </w:r>
      <w:r w:rsidRPr="00EE4D14">
        <w:rPr>
          <w:rFonts w:cs="Times New Roman (Body CS)"/>
        </w:rPr>
        <w:t xml:space="preserve">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t>
      </w:r>
      <w:r w:rsidR="00272076" w:rsidRPr="00EE4D14">
        <w:rPr>
          <w:rFonts w:cs="Times New Roman (Body CS)"/>
        </w:rPr>
        <w:t>except for</w:t>
      </w:r>
      <w:r w:rsidRPr="00EE4D14">
        <w:rPr>
          <w:rFonts w:cs="Times New Roman (Body CS)"/>
        </w:rPr>
        <w:t xml:space="preserve"> the Alberta-Pacific FMAA in eastern Alberta which comprises 12 FMUs. Maps of the FMUs [26] and the FMAAs [27] can be found on the Government of Alberta website. The FMU and FMAA boundaries are used to assign utilization standards</w:t>
      </w:r>
      <w:r>
        <w:rPr>
          <w:rFonts w:cs="Times New Roman (Body CS)"/>
        </w:rPr>
        <w:t xml:space="preserve"> (discussed here) and </w:t>
      </w:r>
      <w:r w:rsidRPr="00EE4D14">
        <w:rPr>
          <w:rFonts w:cs="Times New Roman (Body CS)"/>
        </w:rPr>
        <w:t xml:space="preserve">average piece size </w:t>
      </w:r>
      <w:r>
        <w:rPr>
          <w:rFonts w:cs="Times New Roman (Body CS)"/>
        </w:rPr>
        <w:t>(discussed in the next section)</w:t>
      </w:r>
      <w:r w:rsidRPr="00EE4D14">
        <w:rPr>
          <w:rFonts w:cs="Times New Roman (Body CS)"/>
        </w:rPr>
        <w:t xml:space="preserve">. </w:t>
      </w:r>
    </w:p>
    <w:p w14:paraId="42F70232" w14:textId="77777777" w:rsidR="00316654" w:rsidRDefault="00316654" w:rsidP="00316654">
      <w:pPr>
        <w:pStyle w:val="FirstParagraph"/>
      </w:pPr>
      <w:r>
        <w: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t>
      </w:r>
    </w:p>
    <w:p w14:paraId="191C003F" w14:textId="09ABCADA" w:rsidR="00316654" w:rsidRDefault="00316654" w:rsidP="00316654">
      <w:pPr>
        <w:pStyle w:val="BodyText"/>
      </w:pPr>
      <w:r>
        <w:t xml:space="preserve">Utilization standards in Alberta are specified based on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lengths range between 2.44 and 4.88 m. These utilization standards are necessary to relate volumes calculated to the 13+/7 cm standard for the National Forest Inventory to the harvest volumes reported by the companies. Perhaps most importantly, the minimum top diameter will </w:t>
      </w:r>
      <w:r w:rsidR="00272076">
        <w:t>influence</w:t>
      </w:r>
      <w:r>
        <w:t xml:space="preserve"> the volume of residue left in the forest corresponding to the tops of trees.</w:t>
      </w:r>
    </w:p>
    <w:p w14:paraId="624240AF" w14:textId="432069DB" w:rsidR="00316654" w:rsidRDefault="00316654" w:rsidP="00316654">
      <w:pPr>
        <w:pStyle w:val="BodyText"/>
      </w:pPr>
      <w:r>
        <w:t>Based on the FMU boundaries, we assign</w:t>
      </w:r>
      <w:r w:rsidR="00DC3910">
        <w:t>ed</w:t>
      </w:r>
      <w:r>
        <w:t xml:space="preserve"> a needleleaf and broadleaf utilization standard to each township.</w:t>
      </w:r>
    </w:p>
    <w:p w14:paraId="22B86493" w14:textId="77777777" w:rsidR="00316654" w:rsidRDefault="00316654" w:rsidP="00316654">
      <w:pPr>
        <w:pStyle w:val="Heading2"/>
        <w:numPr>
          <w:ilvl w:val="1"/>
          <w:numId w:val="1"/>
        </w:numPr>
        <w:ind w:left="792" w:hanging="432"/>
      </w:pPr>
      <w:r>
        <w:t>Characteristics of the average tree</w:t>
      </w:r>
    </w:p>
    <w:p w14:paraId="16F71D91" w14:textId="77777777" w:rsidR="00316654" w:rsidRDefault="00316654" w:rsidP="00316654">
      <w:pPr>
        <w:pStyle w:val="Heading3"/>
        <w:numPr>
          <w:ilvl w:val="2"/>
          <w:numId w:val="1"/>
        </w:numPr>
        <w:ind w:left="1224" w:hanging="504"/>
      </w:pPr>
      <w:r>
        <w:t>Piece size</w:t>
      </w:r>
    </w:p>
    <w:p w14:paraId="21360611" w14:textId="77777777" w:rsidR="00316654" w:rsidRDefault="00316654" w:rsidP="00316654">
      <w:pPr>
        <w:pStyle w:val="FirstParagraph"/>
      </w:pPr>
      <w:r>
        <w:t>FMA holders are required by Alberta to project average piece size of harvested trees in the detailed forest management plans (DMFPs) for their FMAAs. We use these piece sizes projected for the first period of the DMFP. They range from 0.110 to 0.599 m</w:t>
      </w:r>
      <w:r>
        <w:rPr>
          <w:vertAlign w:val="superscript"/>
        </w:rPr>
        <w:t>3</w:t>
      </w:r>
      <w:r>
        <w:t xml:space="preserve"> per tree. We used the piece size reported for the first 5-year period of the 200-year planning horizon. For those areas where piece size was not reported we assumed an average piece size of 0.278 m</w:t>
      </w:r>
      <w:r>
        <w:rPr>
          <w:vertAlign w:val="superscript"/>
        </w:rPr>
        <w:t>3</w:t>
      </w:r>
      <w:r>
        <w:t xml:space="preserve"> for needleleaf trees and 0.264 m</w:t>
      </w:r>
      <w:r>
        <w:rPr>
          <w:vertAlign w:val="superscript"/>
        </w:rPr>
        <w:t>3</w:t>
      </w:r>
      <w:r>
        <w:t xml:space="preserve"> for broadleaf trees. These are the average of the values reported in the forest management plans. These values are based on the utilization standards used on the FMA. </w:t>
      </w:r>
      <w:r>
        <w:lastRenderedPageBreak/>
        <w:t>Based on the FMU boundaries we assign an average piece size for broadleaf and needleleaf trees to each township.</w:t>
      </w:r>
    </w:p>
    <w:p w14:paraId="30936B1B" w14:textId="77777777" w:rsidR="00316654" w:rsidRDefault="00316654" w:rsidP="00316654">
      <w:pPr>
        <w:pStyle w:val="Heading3"/>
        <w:numPr>
          <w:ilvl w:val="2"/>
          <w:numId w:val="1"/>
        </w:numPr>
        <w:ind w:left="1224" w:hanging="504"/>
      </w:pPr>
      <w:r>
        <w:t>Taper functions</w:t>
      </w:r>
    </w:p>
    <w:p w14:paraId="2280B5BD" w14:textId="77777777" w:rsidR="00316654" w:rsidRDefault="00316654" w:rsidP="00316654">
      <w:pPr>
        <w:pStyle w:val="FirstParagraph"/>
      </w:pPr>
      <w:r>
        <w:t>Ref. [36]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t>
      </w:r>
    </w:p>
    <w:p w14:paraId="3EC8DFB6" w14:textId="77777777" w:rsidR="00316654" w:rsidRDefault="00316654" w:rsidP="00316654">
      <w:pPr>
        <w:pStyle w:val="BodyText"/>
      </w:pPr>
      <w:r>
        <w:t>Ref. [36] describes a one-parameter model which is useful when both tree DBH and height measurements are available.</w:t>
      </w:r>
    </w:p>
    <w:p w14:paraId="3B3B30F8" w14:textId="77777777" w:rsidR="00316654" w:rsidRDefault="00316654" w:rsidP="00316654">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h</m:t>
                      </m:r>
                    </m:num>
                    <m:den>
                      <m:r>
                        <w:rPr>
                          <w:rFonts w:ascii="Cambria Math" w:hAnsi="Cambria Math"/>
                        </w:rPr>
                        <m:t>H</m:t>
                      </m:r>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68D26A7D" w14:textId="77777777" w:rsidR="00316654" w:rsidRDefault="00316654" w:rsidP="00316654">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 and </w:t>
      </w:r>
      <m:oMath>
        <m:r>
          <w:rPr>
            <w:rFonts w:ascii="Cambria Math" w:hAnsi="Cambria Math"/>
          </w:rPr>
          <m:t>H</m:t>
        </m:r>
      </m:oMath>
      <w:r>
        <w:t xml:space="preserve"> is tree height (m).</w:t>
      </w:r>
    </w:p>
    <w:p w14:paraId="6B4C39CA" w14:textId="77777777" w:rsidR="00316654" w:rsidRDefault="00316654" w:rsidP="00316654">
      <w:pPr>
        <w:pStyle w:val="BodyText"/>
      </w:pPr>
      <w:r>
        <w:t xml:space="preserve">For those cases where height measurements are unavailable, they present a 3-parameter model, where H is replaced with </w:t>
      </w:r>
      <m:oMath>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w:r>
        <w:t>.</w:t>
      </w:r>
    </w:p>
    <w:p w14:paraId="6651E84D" w14:textId="77777777" w:rsidR="00316654" w:rsidRDefault="00316654" w:rsidP="00316654">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num>
                    <m:den>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6F49BDCB" w14:textId="77777777" w:rsidR="00316654" w:rsidRDefault="00316654" w:rsidP="00316654">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w:t>
      </w:r>
    </w:p>
    <w:p w14:paraId="7B02FD31" w14:textId="77777777" w:rsidR="00316654" w:rsidRDefault="00316654" w:rsidP="00316654">
      <w:pPr>
        <w:pStyle w:val="BodyText"/>
      </w:pPr>
      <w:r>
        <w:t>Implicit in this equation is an equation for tree height</w:t>
      </w:r>
    </w:p>
    <w:p w14:paraId="3CB84919" w14:textId="77777777" w:rsidR="00316654" w:rsidRDefault="00316654" w:rsidP="00316654">
      <w:pPr>
        <w:pStyle w:val="BodyText"/>
      </w:pPr>
      <m:oMathPara>
        <m:oMathParaPr>
          <m:jc m:val="center"/>
        </m:oMathParaP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m:oMathPara>
    </w:p>
    <w:p w14:paraId="04D90726" w14:textId="77777777" w:rsidR="00316654" w:rsidRDefault="00316654" w:rsidP="00316654">
      <w:pPr>
        <w:pStyle w:val="FirstParagraph"/>
      </w:pPr>
      <w:r>
        <w:t>which we will use to create input for the biomass calculator</w:t>
      </w:r>
    </w:p>
    <w:p w14:paraId="14F3DFB9" w14:textId="77777777" w:rsidR="00316654" w:rsidRDefault="00316654" w:rsidP="00316654">
      <w:pPr>
        <w:pStyle w:val="BodyText"/>
      </w:pPr>
      <w:r>
        <w:t xml:space="preserve">The radius of the tree (m) can be calculated from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and </w:t>
      </w:r>
      <m:oMath>
        <m:r>
          <w:rPr>
            <w:rFonts w:ascii="Cambria Math" w:hAnsi="Cambria Math"/>
          </w:rPr>
          <m:t>h</m:t>
        </m:r>
      </m:oMath>
      <w:r>
        <w:t xml:space="preserve"> using</w:t>
      </w:r>
    </w:p>
    <w:p w14:paraId="6ADA8868" w14:textId="77777777" w:rsidR="00316654" w:rsidRDefault="00316654" w:rsidP="00316654">
      <w:pPr>
        <w:pStyle w:val="BodyText"/>
      </w:pPr>
      <m:oMathPara>
        <m:oMathParaPr>
          <m:jc m:val="center"/>
        </m:oMathPara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num>
            <m:den>
              <m:r>
                <w:rPr>
                  <w:rFonts w:ascii="Cambria Math" w:hAnsi="Cambria Math"/>
                </w:rPr>
                <m:t>200</m:t>
              </m:r>
            </m:den>
          </m:f>
        </m:oMath>
      </m:oMathPara>
    </w:p>
    <w:p w14:paraId="5CAFF391" w14:textId="77777777" w:rsidR="00316654" w:rsidRDefault="00316654" w:rsidP="00316654">
      <w:pPr>
        <w:pStyle w:val="FirstParagraph"/>
      </w:pPr>
      <w:r>
        <w:t>where the constant 200 is used to convert a diameter (cm) to a radius (m).</w:t>
      </w:r>
    </w:p>
    <w:p w14:paraId="651FF031" w14:textId="77777777" w:rsidR="00316654" w:rsidRDefault="00316654" w:rsidP="00316654">
      <w:pPr>
        <w:pStyle w:val="BodyText"/>
      </w:pPr>
      <m:oMathPara>
        <m:oMathParaPr>
          <m:jc m:val="center"/>
        </m:oMathParaP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πr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oMath>
      </m:oMathPara>
    </w:p>
    <w:p w14:paraId="154E84EF" w14:textId="77777777" w:rsidR="00316654" w:rsidRDefault="00316654" w:rsidP="00316654">
      <w:pPr>
        <w:pStyle w:val="FirstParagraph"/>
      </w:pPr>
      <w:r>
        <w:t xml:space="preserve">The volume of the merchantable log between stump height </w:t>
      </w:r>
      <m:oMath>
        <m:sSub>
          <m:sSubPr>
            <m:ctrlPr>
              <w:rPr>
                <w:rFonts w:ascii="Cambria Math" w:hAnsi="Cambria Math"/>
              </w:rPr>
            </m:ctrlPr>
          </m:sSubPr>
          <m:e>
            <m:r>
              <w:rPr>
                <w:rFonts w:ascii="Cambria Math" w:hAnsi="Cambria Math"/>
              </w:rPr>
              <m:t>h</m:t>
            </m:r>
          </m:e>
          <m:sub>
            <m:r>
              <w:rPr>
                <w:rFonts w:ascii="Cambria Math" w:hAnsi="Cambria Math"/>
              </w:rPr>
              <m:t>s</m:t>
            </m:r>
          </m:sub>
        </m:sSub>
      </m:oMath>
      <w:r>
        <w:t xml:space="preserve"> and the height of the tree at the minimum top diameter (</w:t>
      </w:r>
      <m:oMath>
        <m:sSub>
          <m:sSubPr>
            <m:ctrlPr>
              <w:rPr>
                <w:rFonts w:ascii="Cambria Math" w:hAnsi="Cambria Math"/>
              </w:rPr>
            </m:ctrlPr>
          </m:sSubPr>
          <m:e>
            <m:r>
              <w:rPr>
                <w:rFonts w:ascii="Cambria Math" w:hAnsi="Cambria Math"/>
              </w:rPr>
              <m:t>h</m:t>
            </m:r>
          </m:e>
          <m:sub>
            <m:r>
              <w:rPr>
                <w:rFonts w:ascii="Cambria Math" w:hAnsi="Cambria Math"/>
              </w:rPr>
              <m:t>t</m:t>
            </m:r>
          </m:sub>
        </m:sSub>
      </m:oMath>
      <w:r>
        <w:t>) can then be calculated through integration.</w:t>
      </w:r>
    </w:p>
    <w:p w14:paraId="004E8557" w14:textId="77777777" w:rsidR="00316654" w:rsidRDefault="00316654" w:rsidP="00316654">
      <w:pPr>
        <w:pStyle w:val="BodyText"/>
      </w:pPr>
      <m:oMathPara>
        <m:oMathParaPr>
          <m:jc m:val="center"/>
        </m:oMathParaPr>
        <m:oMath>
          <m:r>
            <w:rPr>
              <w:rFonts w:ascii="Cambria Math" w:hAnsi="Cambria Math"/>
            </w:rPr>
            <w:lastRenderedPageBreak/>
            <m:t>v</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s</m:t>
                  </m:r>
                </m:sub>
              </m:sSub>
            </m:sub>
            <m:sup>
              <m:sSub>
                <m:sSubPr>
                  <m:ctrlPr>
                    <w:rPr>
                      <w:rFonts w:ascii="Cambria Math" w:hAnsi="Cambria Math"/>
                    </w:rPr>
                  </m:ctrlPr>
                </m:sSubPr>
                <m:e>
                  <m:r>
                    <w:rPr>
                      <w:rFonts w:ascii="Cambria Math" w:hAnsi="Cambria Math"/>
                    </w:rPr>
                    <m:t>h</m:t>
                  </m:r>
                </m:e>
                <m:sub>
                  <m:r>
                    <w:rPr>
                      <w:rFonts w:ascii="Cambria Math" w:hAnsi="Cambria Math"/>
                    </w:rPr>
                    <m:t>t</m:t>
                  </m:r>
                </m:sub>
              </m:sSub>
            </m:sup>
            <m:e>
              <m:r>
                <w:rPr>
                  <w:rFonts w:ascii="Cambria Math" w:hAnsi="Cambria Math"/>
                </w:rPr>
                <m:t>π</m:t>
              </m:r>
            </m:e>
          </m:nary>
          <m:r>
            <w:rPr>
              <w:rFonts w:ascii="Cambria Math" w:hAnsi="Cambria Math"/>
            </w:rPr>
            <m: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r>
            <w:rPr>
              <w:rFonts w:ascii="Cambria Math" w:hAnsi="Cambria Math"/>
            </w:rPr>
            <m:t>dh</m:t>
          </m:r>
        </m:oMath>
      </m:oMathPara>
    </w:p>
    <w:p w14:paraId="5F5E1D24" w14:textId="77777777" w:rsidR="00316654" w:rsidRDefault="00316654" w:rsidP="00316654">
      <w:pPr>
        <w:pStyle w:val="FirstParagraph"/>
      </w:pPr>
      <w:r>
        <w:t>Ref. [36] also presents a simple linear model relating outside bark to inside bark diameter. The taper function is for outside bark diameter, but piece sizes are reported as inside bark volume.</w:t>
      </w:r>
    </w:p>
    <w:p w14:paraId="3890D34F" w14:textId="77777777" w:rsidR="00316654" w:rsidRDefault="00316654" w:rsidP="00316654">
      <w:pPr>
        <w:pStyle w:val="Heading3"/>
        <w:numPr>
          <w:ilvl w:val="2"/>
          <w:numId w:val="1"/>
        </w:numPr>
        <w:ind w:left="1224" w:hanging="504"/>
      </w:pPr>
      <w:r>
        <w:t>DBH and height estimates</w:t>
      </w:r>
    </w:p>
    <w:p w14:paraId="27074EC6" w14:textId="2BED3A04" w:rsidR="00316654" w:rsidRDefault="00316654" w:rsidP="00316654">
      <w:pPr>
        <w:pStyle w:val="FirstParagraph"/>
      </w:pPr>
      <w:r>
        <w:t>From information collected from forest management plans we have an estimate of average piece size calculated to a specified utilization standard for every combination of township and FMU, for both need</w:t>
      </w:r>
      <w:r w:rsidR="00FA38C4">
        <w:t>le</w:t>
      </w:r>
      <w:r>
        <w:t>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t>
      </w:r>
    </w:p>
    <w:p w14:paraId="5E65C9EF" w14:textId="51F104A5" w:rsidR="00316654" w:rsidRDefault="00316654" w:rsidP="00316654">
      <w:pPr>
        <w:pStyle w:val="BodyText"/>
      </w:pPr>
      <w:r>
        <w:t xml:space="preserve">Most forest stands in Alberta </w:t>
      </w:r>
      <w:r w:rsidR="00FA38C4">
        <w:t>are</w:t>
      </w:r>
      <w:r>
        <w:t xml:space="preserve"> even-aged, as the majority originated following stand-replacing fire or clearcut harvest. It is common to describe stands using a distribution of diameters at breast height (DBH). The diameter distribution for an even-aged stand is usually approximately normal [50]. We use this to justify the use of the average tree.</w:t>
      </w:r>
    </w:p>
    <w:p w14:paraId="0200C506" w14:textId="50AD747B" w:rsidR="00316654" w:rsidRDefault="00316654" w:rsidP="00316654">
      <w:pPr>
        <w:pStyle w:val="BodyText"/>
      </w:pPr>
      <w:r>
        <w:t xml:space="preserve">Using these equations, we </w:t>
      </w:r>
      <w:r w:rsidR="00FA38C4">
        <w:t>can</w:t>
      </w:r>
      <w:r>
        <w:t xml:space="preserve"> calculate wood volumes and bark volumes between any two heights along the tree stem. We calculate the proportions of total tree and bark volumes in the top of the tree. We use this volume proportion later to calculate biomass of stemwood and bark in the top.</w:t>
      </w:r>
    </w:p>
    <w:p w14:paraId="72931992" w14:textId="45DBBB76" w:rsidR="00316654" w:rsidRDefault="00316654" w:rsidP="00316654">
      <w:pPr>
        <w:pStyle w:val="BodyText"/>
      </w:pPr>
      <w:r>
        <w:t xml:space="preserve">The merchantable volume for the average tree is calculated to both the 13+/7 cm utilization standard and the utilization standard specified for the FMU. The 13+/7 cm utilization standard is used to calculate the stand density (stems/ha) for both the needleleaf and the broadleaf species. The FMU utilization standard is </w:t>
      </w:r>
      <w:r w:rsidR="00CF3E6F">
        <w:t>used</w:t>
      </w:r>
      <w:r>
        <w:t xml:space="preserve"> to calculate the volume adjustment factor.</w:t>
      </w:r>
    </w:p>
    <w:p w14:paraId="1048DE32" w14:textId="77777777" w:rsidR="00316654" w:rsidRDefault="00316654" w:rsidP="00316654">
      <w:pPr>
        <w:pStyle w:val="Heading3"/>
        <w:numPr>
          <w:ilvl w:val="2"/>
          <w:numId w:val="1"/>
        </w:numPr>
        <w:ind w:left="1224" w:hanging="504"/>
      </w:pPr>
      <w:r>
        <w:t>Individual tree residual biomass.</w:t>
      </w:r>
    </w:p>
    <w:p w14:paraId="5680DAC9" w14:textId="77777777" w:rsidR="00316654" w:rsidRDefault="00316654" w:rsidP="00316654">
      <w:pPr>
        <w:pStyle w:val="FirstParagraph"/>
      </w:pPr>
      <w:r>
        <w:t>Canada’s National Forest Inventory website provides a useful individual tree biomass calculator [35]. It calculates the biomass of tree components (stem wood, stem bark, branches, foliage, and total) using province/territory, terrestrial ecozone, species, DBH, and tree height as input. It is possible to upload a file to the calculator so that the biomass of many trees can be calculated at once. The calculator is based on Ref. [51].</w:t>
      </w:r>
    </w:p>
    <w:p w14:paraId="28563AD2" w14:textId="77777777" w:rsidR="00316654" w:rsidRDefault="00316654" w:rsidP="00316654">
      <w:pPr>
        <w:pStyle w:val="BodyText"/>
      </w:pPr>
      <w:r>
        <w:t>We created an input file for the NFIS biomass calculator that included all 125 unique combinations of species, ecozone, DBH, and height assigned to the townships in section @ref(dbhht). (</w:t>
      </w:r>
      <w:r>
        <w:rPr>
          <w:b/>
          <w:bCs/>
        </w:rPr>
        <w:t>Create cross-references</w:t>
      </w:r>
      <w:r>
        <w:t>).</w:t>
      </w:r>
    </w:p>
    <w:p w14:paraId="0F1B500D" w14:textId="77777777" w:rsidR="00316654" w:rsidRDefault="00316654" w:rsidP="00316654">
      <w:pPr>
        <w:pStyle w:val="BodyText"/>
      </w:pPr>
      <w:r>
        <w:t xml:space="preserve">We assume that the residual biomass comes from the stem wood and stem bark from the tops of the harvested trees, and the branches and foliage removed by the stroke </w:t>
      </w:r>
      <w:proofErr w:type="spellStart"/>
      <w:r>
        <w:t>delimber</w:t>
      </w:r>
      <w:proofErr w:type="spellEnd"/>
      <w:r>
        <w:t>. The residual biomass from the tops is calculated using the total biomass of stem wood and stem bark adjusted by the volume proportions calculated as described above.</w:t>
      </w:r>
    </w:p>
    <w:p w14:paraId="25DABA52" w14:textId="77777777" w:rsidR="00316654" w:rsidRDefault="00316654" w:rsidP="00316654">
      <w:pPr>
        <w:pStyle w:val="Heading2"/>
        <w:numPr>
          <w:ilvl w:val="1"/>
          <w:numId w:val="1"/>
        </w:numPr>
        <w:ind w:left="792" w:hanging="432"/>
      </w:pPr>
      <w:r>
        <w:lastRenderedPageBreak/>
        <w:t>Spatial variability in residual biomass production</w:t>
      </w:r>
    </w:p>
    <w:p w14:paraId="532AAD16" w14:textId="77777777" w:rsidR="00316654" w:rsidRDefault="00316654" w:rsidP="00316654">
      <w:pPr>
        <w:pStyle w:val="FirstParagraph"/>
      </w:pPr>
      <w:r>
        <w: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[32]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 [52].</w:t>
      </w:r>
    </w:p>
    <w:p w14:paraId="273F01E8" w14:textId="77777777" w:rsidR="00316654" w:rsidRDefault="00316654" w:rsidP="00316654">
      <w:pPr>
        <w:pStyle w:val="BodyText"/>
      </w:pPr>
      <w:r>
        <w:t>Forestry companies are selective in the stands they harvest. Some stands will be comprised of undesirable species. The most commercially important needleleaf species in Alberta are white spruce (</w:t>
      </w:r>
      <w:proofErr w:type="spellStart"/>
      <w:r>
        <w:rPr>
          <w:i/>
          <w:iCs/>
        </w:rPr>
        <w:t>Picea</w:t>
      </w:r>
      <w:proofErr w:type="spellEnd"/>
      <w:r>
        <w:rPr>
          <w:i/>
          <w:iCs/>
        </w:rPr>
        <w:t xml:space="preserve"> glauca</w:t>
      </w:r>
      <w:r>
        <w:t xml:space="preserve"> (</w:t>
      </w:r>
      <w:proofErr w:type="spellStart"/>
      <w:r>
        <w:t>Moench</w:t>
      </w:r>
      <w:proofErr w:type="spellEnd"/>
      <w:r>
        <w:t>) Voss), lodgepole pine (</w:t>
      </w:r>
      <w:r>
        <w:rPr>
          <w:i/>
          <w:iCs/>
        </w:rPr>
        <w:t>Pinus contorta</w:t>
      </w:r>
      <w:r>
        <w:t xml:space="preserve"> var. </w:t>
      </w:r>
      <w:r>
        <w:rPr>
          <w:i/>
          <w:iCs/>
        </w:rPr>
        <w:t>latifolia</w:t>
      </w:r>
      <w:r>
        <w:t xml:space="preserve"> </w:t>
      </w:r>
      <w:proofErr w:type="spellStart"/>
      <w:r>
        <w:t>Engelm</w:t>
      </w:r>
      <w:proofErr w:type="spellEnd"/>
      <w:r>
        <w:t>.) and jack pine (</w:t>
      </w:r>
      <w:r>
        <w:rPr>
          <w:i/>
          <w:iCs/>
        </w:rPr>
        <w:t>Pinus banksiana</w:t>
      </w:r>
      <w:r>
        <w:t xml:space="preserve"> Lamb.). Trembling aspen (</w:t>
      </w:r>
      <w:r>
        <w:rPr>
          <w:i/>
          <w:iCs/>
        </w:rPr>
        <w:t xml:space="preserve">Populus </w:t>
      </w:r>
      <w:proofErr w:type="spellStart"/>
      <w:r>
        <w:rPr>
          <w:i/>
          <w:iCs/>
        </w:rPr>
        <w:t>tremuloides</w:t>
      </w:r>
      <w:proofErr w:type="spellEnd"/>
      <w:r>
        <w:t xml:space="preserve"> </w:t>
      </w:r>
      <w:proofErr w:type="spellStart"/>
      <w:r>
        <w:t>Michx</w:t>
      </w:r>
      <w:proofErr w:type="spellEnd"/>
      <w:r>
        <w:t>.) is the most commercially important broadleaf species. Some stands may have too little volume to be worth harvesting. Some stands may be too young. We selected cells that contained at least 50 m</w:t>
      </w:r>
      <w:r>
        <w:rPr>
          <w:vertAlign w:val="superscript"/>
        </w:rPr>
        <w:t>3</w:t>
      </w:r>
      <w:r>
        <w:t>·ha</w:t>
      </w:r>
      <w:r>
        <w:rPr>
          <w:vertAlign w:val="superscript"/>
        </w:rPr>
        <w:t>-1</w:t>
      </w:r>
      <w:r>
        <w:t xml:space="preserve"> of merchantable volume, as that corresponds with merchantability limits specified in Alberta [53]. We filtered out cells with more than 50% crown closure of larch (</w:t>
      </w:r>
      <w:r>
        <w:rPr>
          <w:i/>
          <w:iCs/>
        </w:rPr>
        <w:t>Larix spp.</w:t>
      </w:r>
      <w:r>
        <w:t xml:space="preserve"> Mill.) and birch (</w:t>
      </w:r>
      <w:r>
        <w:rPr>
          <w:i/>
          <w:iCs/>
        </w:rPr>
        <w:t>Betula spp.</w:t>
      </w:r>
      <w:r>
        <w:t xml:space="preserve"> L.) combined, as those genera are rarely harvested at a commercial scale in Alberta. We filtered out cells with stand age less than 80 years as it is unusual to harvest stands younger than that in Alberta. QGIS zonal statistics were used to average the merchantable volume per ha of the merchantable cells in each township.</w:t>
      </w:r>
    </w:p>
    <w:p w14:paraId="3738DDC0" w14:textId="77777777" w:rsidR="00316654" w:rsidRDefault="00316654" w:rsidP="00316654">
      <w:pPr>
        <w:pStyle w:val="BodyText"/>
      </w:pPr>
      <w:r>
        <w:t>Then for each township, we determined the most common needleleaf and broadleaf species, and calculated the average volume per hectare of needleleaf and broadleaf these harvestable stands.</w:t>
      </w:r>
    </w:p>
    <w:p w14:paraId="1B9FD8A2" w14:textId="77777777" w:rsidR="00316654" w:rsidRDefault="00316654" w:rsidP="00316654">
      <w:pPr>
        <w:pStyle w:val="BodyText"/>
      </w:pPr>
      <w:r>
        <w:t>These average volumes are still considerably less than the average volume per hectare harvested in Alberta, indicating that the forestry companies are even more selective about timber harvest than our simple filter rules suggest.</w:t>
      </w:r>
    </w:p>
    <w:p w14:paraId="5E467612" w14:textId="77777777" w:rsidR="00316654" w:rsidRDefault="00316654" w:rsidP="00316654">
      <w:pPr>
        <w:pStyle w:val="BodyText"/>
      </w:pPr>
      <w:r>
        <w:t>Based on data retrieved from the National Forestry Database, the average harvest volume in Alberta between 1990 and 2015 was 277.8 m</w:t>
      </w:r>
      <w:r>
        <w:rPr>
          <w:vertAlign w:val="superscript"/>
        </w:rPr>
        <w:t>3</w:t>
      </w:r>
      <w:r>
        <w:t>·ha</w:t>
      </w:r>
      <w:r>
        <w:rPr>
          <w:vertAlign w:val="superscript"/>
        </w:rPr>
        <w:t>-1</w:t>
      </w:r>
      <w:r>
        <w:t xml:space="preserve"> [54]. The average township volume after the filter was applied was 100.3 m</w:t>
      </w:r>
      <w:r>
        <w:rPr>
          <w:vertAlign w:val="superscript"/>
        </w:rPr>
        <w:t>3</w:t>
      </w:r>
      <w:r>
        <w:t>·ha</w:t>
      </w:r>
      <w:r>
        <w:rPr>
          <w:vertAlign w:val="superscript"/>
        </w:rPr>
        <w:t>-1</w:t>
      </w:r>
      <w:r>
        <w:t>. We used a harvest volume adjustment factor of 2.77 to make the volumes we calculated comparable to the average harvest volume (m</w:t>
      </w:r>
      <w:r>
        <w:rPr>
          <w:vertAlign w:val="superscript"/>
        </w:rPr>
        <w:t>3</w:t>
      </w:r>
      <w:r>
        <w:t>·ha</w:t>
      </w:r>
      <w:r>
        <w:rPr>
          <w:vertAlign w:val="superscript"/>
        </w:rPr>
        <w:t>-1</w:t>
      </w:r>
      <w:r>
        <w:t>) for Alberta.</w:t>
      </w:r>
    </w:p>
    <w:p w14:paraId="502C8BB8" w14:textId="77777777" w:rsidR="00316654" w:rsidRDefault="00316654" w:rsidP="00316654"/>
    <w:p w14:paraId="57F9035C" w14:textId="77777777" w:rsidR="00316654" w:rsidRDefault="00316654" w:rsidP="00316654">
      <w:pPr>
        <w:pStyle w:val="Bibliography"/>
      </w:pPr>
    </w:p>
    <w:p w14:paraId="672A021E" w14:textId="77777777" w:rsidR="00F14343" w:rsidRDefault="00F14343"/>
    <w:sectPr w:rsidR="00F14343"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wa" w:date="2021-12-18T12:43:00Z" w:initials="gwa">
    <w:p w14:paraId="0702C162" w14:textId="77777777" w:rsidR="00316654" w:rsidRDefault="00316654" w:rsidP="00316654">
      <w:pPr>
        <w:pStyle w:val="CommentText"/>
      </w:pPr>
      <w:r>
        <w:rPr>
          <w:rStyle w:val="CommentReference"/>
        </w:rPr>
        <w:annotationRef/>
      </w:r>
      <w:r>
        <w:rPr>
          <w:lang w:val="en-CA"/>
        </w:rPr>
        <w:t>Add stuff</w:t>
      </w:r>
    </w:p>
  </w:comment>
  <w:comment w:id="1" w:author="Jay Anderson" w:date="2021-12-17T09:56:00Z" w:initials="JA">
    <w:p w14:paraId="0FC181BB" w14:textId="77777777" w:rsidR="00316654" w:rsidRDefault="00316654" w:rsidP="00316654">
      <w:pPr>
        <w:pStyle w:val="CommentText"/>
      </w:pPr>
      <w:r>
        <w:rPr>
          <w:rStyle w:val="CommentReference"/>
        </w:rPr>
        <w:annotationRef/>
      </w:r>
      <w:r>
        <w:t>I wonder if 3.4, 3.5 and 3.6 should be moved into an appendix. Similar to what we did for the Anderson et al 2015 paper in CJFR. Indeed, we could just include 3.7 (residue density) here, since it is the main parameter in the model above, then briefly mention how utilization standards, the characteristics of the average tree, and residue variability all fit into residue density, and then refer our readers to the appendix if they want more detail.</w:t>
      </w:r>
    </w:p>
    <w:p w14:paraId="0D9A8E18" w14:textId="77777777" w:rsidR="00316654" w:rsidRDefault="00316654" w:rsidP="00316654">
      <w:pPr>
        <w:pStyle w:val="CommentText"/>
      </w:pPr>
    </w:p>
  </w:comment>
  <w:comment w:id="2" w:author="gwa" w:date="2021-12-18T11:33:00Z" w:initials="gwa">
    <w:p w14:paraId="7D49FA2B" w14:textId="77777777" w:rsidR="00316654" w:rsidRDefault="00316654" w:rsidP="00316654">
      <w:pPr>
        <w:pStyle w:val="CommentText"/>
      </w:pPr>
      <w:r>
        <w:rPr>
          <w:rStyle w:val="CommentReference"/>
        </w:rPr>
        <w:annotationRef/>
      </w:r>
      <w:r>
        <w:rPr>
          <w:lang w:val="en-CA"/>
        </w:rPr>
        <w:t>Let's consider this later</w:t>
      </w:r>
    </w:p>
  </w:comment>
  <w:comment w:id="3" w:author="gwa" w:date="2021-12-18T12:01:00Z" w:initials="gwa">
    <w:p w14:paraId="1A0F4074" w14:textId="77777777" w:rsidR="00316654" w:rsidRDefault="00316654" w:rsidP="00316654">
      <w:pPr>
        <w:pStyle w:val="CommentText"/>
      </w:pPr>
      <w:r>
        <w:rPr>
          <w:rStyle w:val="CommentReference"/>
        </w:rPr>
        <w:annotationRef/>
      </w:r>
      <w:r>
        <w:rPr>
          <w:lang w:val="en-CA"/>
        </w:rPr>
        <w:t>OK, I considered this, I agree.</w:t>
      </w:r>
    </w:p>
  </w:comment>
  <w:comment w:id="4" w:author="Jay Anderson" w:date="2021-12-15T14:32:00Z" w:initials="JA">
    <w:p w14:paraId="56286D4B" w14:textId="77777777" w:rsidR="00316654" w:rsidRDefault="00316654" w:rsidP="00316654">
      <w:pPr>
        <w:pStyle w:val="CommentText"/>
      </w:pPr>
      <w:r>
        <w:rPr>
          <w:rStyle w:val="CommentReference"/>
        </w:rPr>
        <w:annotationRef/>
      </w:r>
      <w:r>
        <w:t xml:space="preserve">I moved this paragraph from the intro. I find it fits better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2C162" w15:done="0"/>
  <w15:commentEx w15:paraId="0D9A8E18" w15:done="0"/>
  <w15:commentEx w15:paraId="7D49FA2B" w15:paraIdParent="0D9A8E18" w15:done="0"/>
  <w15:commentEx w15:paraId="1A0F4074" w15:paraIdParent="0D9A8E18" w15:done="0"/>
  <w15:commentEx w15:paraId="56286D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55E2" w16cex:dateUtc="2021-12-18T19:43:00Z"/>
  <w16cex:commentExtensible w16cex:durableId="256853C9" w16cex:dateUtc="2021-12-17T16:56:00Z"/>
  <w16cex:commentExtensible w16cex:durableId="256853C8" w16cex:dateUtc="2021-12-18T18:33:00Z"/>
  <w16cex:commentExtensible w16cex:durableId="256853C7" w16cex:dateUtc="2021-12-18T19:01:00Z"/>
  <w16cex:commentExtensible w16cex:durableId="256853C6" w16cex:dateUtc="2021-12-15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2C162" w16cid:durableId="256855E2"/>
  <w16cid:commentId w16cid:paraId="0D9A8E18" w16cid:durableId="256853C9"/>
  <w16cid:commentId w16cid:paraId="7D49FA2B" w16cid:durableId="256853C8"/>
  <w16cid:commentId w16cid:paraId="1A0F4074" w16cid:durableId="256853C7"/>
  <w16cid:commentId w16cid:paraId="56286D4B" w16cid:durableId="256853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7FE"/>
    <w:multiLevelType w:val="multilevel"/>
    <w:tmpl w:val="929CE4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a">
    <w15:presenceInfo w15:providerId="None" w15:userId="gwa"/>
  </w15:person>
  <w15:person w15:author="Jay Anderson">
    <w15:presenceInfo w15:providerId="None" w15:userId="Ja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54"/>
    <w:rsid w:val="00272076"/>
    <w:rsid w:val="00316654"/>
    <w:rsid w:val="00CF3E6F"/>
    <w:rsid w:val="00DC3910"/>
    <w:rsid w:val="00F14343"/>
    <w:rsid w:val="00FA3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96"/>
  <w15:chartTrackingRefBased/>
  <w15:docId w15:val="{7EF2BF01-AD76-4C36-800E-2EC76AC0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54"/>
    <w:pPr>
      <w:spacing w:after="200" w:line="240" w:lineRule="auto"/>
    </w:pPr>
    <w:rPr>
      <w:sz w:val="24"/>
      <w:szCs w:val="24"/>
      <w:lang w:val="en-US"/>
    </w:rPr>
  </w:style>
  <w:style w:type="paragraph" w:styleId="Heading2">
    <w:name w:val="heading 2"/>
    <w:basedOn w:val="Normal"/>
    <w:next w:val="BodyText"/>
    <w:link w:val="Heading2Char"/>
    <w:uiPriority w:val="9"/>
    <w:unhideWhenUsed/>
    <w:qFormat/>
    <w:rsid w:val="00316654"/>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3166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654"/>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316654"/>
    <w:rPr>
      <w:rFonts w:asciiTheme="majorHAnsi" w:eastAsiaTheme="majorEastAsia" w:hAnsiTheme="majorHAnsi" w:cstheme="majorBidi"/>
      <w:b/>
      <w:bCs/>
      <w:color w:val="4472C4" w:themeColor="accent1"/>
      <w:sz w:val="24"/>
      <w:szCs w:val="24"/>
      <w:lang w:val="en-US"/>
    </w:rPr>
  </w:style>
  <w:style w:type="paragraph" w:styleId="BodyText">
    <w:name w:val="Body Text"/>
    <w:basedOn w:val="Normal"/>
    <w:link w:val="BodyTextChar"/>
    <w:qFormat/>
    <w:rsid w:val="00316654"/>
    <w:pPr>
      <w:spacing w:before="180" w:after="180"/>
    </w:pPr>
  </w:style>
  <w:style w:type="character" w:customStyle="1" w:styleId="BodyTextChar">
    <w:name w:val="Body Text Char"/>
    <w:basedOn w:val="DefaultParagraphFont"/>
    <w:link w:val="BodyText"/>
    <w:rsid w:val="00316654"/>
    <w:rPr>
      <w:sz w:val="24"/>
      <w:szCs w:val="24"/>
      <w:lang w:val="en-US"/>
    </w:rPr>
  </w:style>
  <w:style w:type="paragraph" w:customStyle="1" w:styleId="FirstParagraph">
    <w:name w:val="First Paragraph"/>
    <w:basedOn w:val="BodyText"/>
    <w:next w:val="BodyText"/>
    <w:qFormat/>
    <w:rsid w:val="00316654"/>
  </w:style>
  <w:style w:type="paragraph" w:styleId="Title">
    <w:name w:val="Title"/>
    <w:basedOn w:val="Normal"/>
    <w:next w:val="BodyText"/>
    <w:link w:val="TitleChar"/>
    <w:qFormat/>
    <w:rsid w:val="0031665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16654"/>
    <w:rPr>
      <w:rFonts w:asciiTheme="majorHAnsi" w:eastAsiaTheme="majorEastAsia" w:hAnsiTheme="majorHAnsi" w:cstheme="majorBidi"/>
      <w:b/>
      <w:bCs/>
      <w:color w:val="2D4F8E" w:themeColor="accent1" w:themeShade="B5"/>
      <w:sz w:val="36"/>
      <w:szCs w:val="36"/>
      <w:lang w:val="en-US"/>
    </w:rPr>
  </w:style>
  <w:style w:type="paragraph" w:styleId="Bibliography">
    <w:name w:val="Bibliography"/>
    <w:basedOn w:val="Normal"/>
    <w:qFormat/>
    <w:rsid w:val="00316654"/>
  </w:style>
  <w:style w:type="character" w:styleId="CommentReference">
    <w:name w:val="annotation reference"/>
    <w:basedOn w:val="DefaultParagraphFont"/>
    <w:semiHidden/>
    <w:unhideWhenUsed/>
    <w:rsid w:val="00316654"/>
    <w:rPr>
      <w:sz w:val="16"/>
      <w:szCs w:val="16"/>
    </w:rPr>
  </w:style>
  <w:style w:type="paragraph" w:styleId="CommentText">
    <w:name w:val="annotation text"/>
    <w:basedOn w:val="Normal"/>
    <w:link w:val="CommentTextChar"/>
    <w:unhideWhenUsed/>
    <w:rsid w:val="00316654"/>
    <w:rPr>
      <w:sz w:val="20"/>
      <w:szCs w:val="20"/>
    </w:rPr>
  </w:style>
  <w:style w:type="character" w:customStyle="1" w:styleId="CommentTextChar">
    <w:name w:val="Comment Text Char"/>
    <w:basedOn w:val="DefaultParagraphFont"/>
    <w:link w:val="CommentText"/>
    <w:rsid w:val="00316654"/>
    <w:rPr>
      <w:sz w:val="20"/>
      <w:szCs w:val="20"/>
      <w:lang w:val="en-US"/>
    </w:rPr>
  </w:style>
  <w:style w:type="numbering" w:customStyle="1" w:styleId="stuff">
    <w:name w:val="stuff"/>
    <w:uiPriority w:val="99"/>
    <w:rsid w:val="0031665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dc:creator>
  <cp:keywords/>
  <dc:description/>
  <cp:lastModifiedBy>gwa</cp:lastModifiedBy>
  <cp:revision>5</cp:revision>
  <dcterms:created xsi:type="dcterms:W3CDTF">2021-12-19T16:39:00Z</dcterms:created>
  <dcterms:modified xsi:type="dcterms:W3CDTF">2021-12-19T17:18:00Z</dcterms:modified>
</cp:coreProperties>
</file>