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Design using the Waiz Media brand style.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Brand identity: modern marketing agency, professional fintech aesthetic, clean SaaS-style UI.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Color palette: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Primary navy blue #061A4A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Secondary royal blue #0E2F73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Accent blue #4FA3FF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Growth accent green #7CFF7A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White #FFFFFF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Light background #F5F7FB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Dark text #0B1220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Design rules: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lots of white space.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White should be the primary background.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navy blue for headers, hero sections, and strong emphasis.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royal blue for gradients and supporting elements.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 accent blue for icons, links, and highlights.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 green sparingly to represent growth, arrows, or performance.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Visual style: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clean modern SaaS design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high contrast typography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minimal layout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professional marketing agency aesthetic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technology and growth oriented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Typography style: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bold modern sans-serif headlines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clean readable body text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large confident headings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Overall feeling: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premium marketing agency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data-driven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growth-focused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modern fintech interface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