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Reframe a misunderstood product so seniors see it as a safe, strategic tool—not a last resort.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stigma with clarity and dignity. Show how thousands have secured stronger retirements using this program.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perception is anchored to outdated versions of the product and horror-story anecdotes.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homeowners assume taking this path means they “failed.” We reject that. It’s smart cash-flow and risk management.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stance on the product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programs include strong protections (you keep title; non-recourse limits; counseling; spousal safeguards).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a flexible retirement tool: remove required monthly mortgage payments, access equity on demand, or maintain a standby line of credit.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reality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Skeptical, ad-averse, and protective of their legacy and home.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respectful teaching, not hype; proof that it’s safe; and clear answers about heirs and ownership.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 philosophy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outcomes and safety, not product jargon.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attention with benefits that matter (cash-flow relief, aging-in-place, home improvements, contingency funds).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Neutralize core myths early (ownership, heirs, “outliving” the loan) using plain, verifiable facts.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first. Sales second. Always dignified.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&amp; framing preferences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“home-equity program for 62+,” “FHA insured option (for many borrowers),” “retirement cash-flow strategy.”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leading with the term </w:t>
      </w:r>
      <w:r w:rsidDel="00000000" w:rsidR="00000000" w:rsidRPr="00000000">
        <w:rPr>
          <w:b w:val="1"/>
          <w:bCs w:val="1"/>
          <w:rtl w:val="0"/>
        </w:rPr>
        <w:t xml:space="preserve">“reverse mortgage.”</w:t>
      </w:r>
      <w:r w:rsidDel="00000000" w:rsidR="00000000" w:rsidRPr="00000000">
        <w:rPr>
          <w:rtl w:val="0"/>
        </w:rPr>
        <w:t xml:space="preserve"> Only reveal or name it after trust is established (and when required for clarity/compliance).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sentences short, human, calm, and authoritative. No scare tactics. No shaming.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pillars to reinforce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stays with the homeowner.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Non-recourse: no one owes more than the home’s value when due.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Heirs can keep remaining equity or purchase at a capped amount (per program rules).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obligations: taxes, insurance, maintenance, primary residence—state them clearly and consistently.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&amp; education cues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diagrams/flows that show “equity → options → safeguards.”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scenarios (de-identified): removing a payment, funding care, delaying portfolio withdrawals, financing renovations.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counseling requirement noted as a consumer protection, not a hurdle.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success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feel informed and relieved, not sold.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knee-jerk scroll-aways; more qualified, curious conversations.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measurable shift in sentiment: “I didn’t know it worked like this.”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