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printRxer / HealthMailer IT Quick Reference Guide</w:t>
      </w:r>
    </w:p>
    <w:p>
      <w:pPr>
        <w:jc w:val="center"/>
      </w:pPr>
      <w:r>
        <w:rPr>
          <w:i/>
        </w:rPr>
        <w:t>Current release guidance | Windows x64 | IT and security review</w:t>
      </w:r>
    </w:p>
    <w:p>
      <w:r>
        <w:rPr>
          <w:b/>
        </w:rPr>
        <w:t xml:space="preserve">Purpose. </w:t>
      </w:r>
      <w:r>
        <w:t>printRxer captures an approved clinical print job and creates a validated handoff package. HealthMailer watches the configured handoff folder and, when explicitly approved, sends the PDF through the logged-in user's Outlook/Healthmail profile. printRxer does not send email.</w:t>
      </w:r>
    </w:p>
    <w:p>
      <w:pPr>
        <w:pStyle w:val="Heading1"/>
      </w:pPr>
      <w:r>
        <w:t>Deployment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Machine 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Setup executable in component bundle</w:t>
            </w:r>
          </w:p>
        </w:tc>
      </w:tr>
      <w:tr>
        <w:tc>
          <w:tcPr>
            <w:tcW w:type="dxa" w:w="3360"/>
          </w:tcPr>
          <w:p>
            <w:r>
              <w:t>printRxer printing machine</w:t>
            </w:r>
          </w:p>
        </w:tc>
        <w:tc>
          <w:tcPr>
            <w:tcW w:type="dxa" w:w="3360"/>
          </w:tcPr>
          <w:p>
            <w:r>
              <w:t>Print/capture, recipient picker, PDF preparation, local outbox, validated handoff package creation.</w:t>
            </w:r>
          </w:p>
        </w:tc>
        <w:tc>
          <w:tcPr>
            <w:tcW w:type="dxa" w:w="3360"/>
          </w:tcPr>
          <w:p>
            <w:r>
              <w:t>printRxerSetup.exe</w:t>
            </w:r>
          </w:p>
        </w:tc>
      </w:tr>
      <w:tr>
        <w:tc>
          <w:tcPr>
            <w:tcW w:type="dxa" w:w="3360"/>
          </w:tcPr>
          <w:p>
            <w:r>
              <w:t>HealthMailer sending machine</w:t>
            </w:r>
          </w:p>
        </w:tc>
        <w:tc>
          <w:tcPr>
            <w:tcW w:type="dxa" w:w="3360"/>
          </w:tcPr>
          <w:p>
            <w:r>
              <w:t>Handoff watcher, validation, Outlook COM send, optional chart/ViewPoint copy, terminal audit records.</w:t>
            </w:r>
          </w:p>
        </w:tc>
        <w:tc>
          <w:tcPr>
            <w:tcW w:type="dxa" w:w="3360"/>
          </w:tcPr>
          <w:p>
            <w:r>
              <w:t>HealthMailerSetup.exe</w:t>
            </w:r>
          </w:p>
        </w:tc>
      </w:tr>
    </w:tbl>
    <w:p>
      <w:pPr>
        <w:pStyle w:val="Heading1"/>
      </w:pPr>
      <w:r>
        <w:t>Release bundle</w:t>
      </w:r>
    </w:p>
    <w:p>
      <w:pPr>
        <w:pStyle w:val="ListBullet"/>
      </w:pPr>
      <w:r>
        <w:t>Build with tools/New-PrintRxerSuiteReleaseBundle.ps1.</w:t>
      </w:r>
    </w:p>
    <w:p>
      <w:pPr>
        <w:pStyle w:val="ListBullet"/>
      </w:pPr>
      <w:r>
        <w:t>The suite ZIP is the normal IT entry point and contains PrintRxerSuiteInstaller.exe.</w:t>
      </w:r>
    </w:p>
    <w:p>
      <w:pPr>
        <w:pStyle w:val="ListBullet"/>
      </w:pPr>
      <w:r>
        <w:t>Component ZIPs are provided for approved support or role-specific deployment.</w:t>
      </w:r>
    </w:p>
    <w:p>
      <w:pPr>
        <w:pStyle w:val="ListBullet"/>
      </w:pPr>
      <w:r>
        <w:t>Release ZIPs include SHA256SUMS.txt. Verify checksums before deployment.</w:t>
      </w:r>
    </w:p>
    <w:p>
      <w:pPr>
        <w:pStyle w:val="Heading1"/>
      </w:pPr>
      <w:r>
        <w:t>Handoff folder and access control</w:t>
      </w:r>
    </w:p>
    <w:p>
      <w:pPr>
        <w:pStyle w:val="ListBullet"/>
      </w:pPr>
      <w:r>
        <w:t>The same handoff path must be configured for both roles.</w:t>
      </w:r>
    </w:p>
    <w:p>
      <w:pPr>
        <w:pStyle w:val="ListBullet"/>
      </w:pPr>
      <w:r>
        <w:t>The handoff may be local for a same-machine pilot or a secured UNC path for split-machine deployment.</w:t>
      </w:r>
    </w:p>
    <w:p>
      <w:pPr>
        <w:pStyle w:val="ListBullet"/>
      </w:pPr>
      <w:r>
        <w:t>Use UNC paths directly rather than mapped drive letters.</w:t>
      </w:r>
    </w:p>
    <w:p>
      <w:pPr>
        <w:pStyle w:val="ListBullet"/>
      </w:pPr>
      <w:r>
        <w:t>IT owns share and NTFS ACLs. Restrict access to approved printRxer writers, the HealthMailer sender context, and approved administrators/support staff.</w:t>
      </w:r>
    </w:p>
    <w:p>
      <w:pPr>
        <w:pStyle w:val="Heading1"/>
      </w:pPr>
      <w:r>
        <w:t>Installation</w:t>
      </w:r>
    </w:p>
    <w:p>
      <w:pPr>
        <w:pStyle w:val="ListBullet"/>
      </w:pPr>
      <w:r>
        <w:t>Run printRxer installation in an administrator-capable context because it installs the port monitor, PrintRxer XPS driver, printer queue, app files, and watcher task.</w:t>
      </w:r>
    </w:p>
    <w:p>
      <w:pPr>
        <w:pStyle w:val="ListBullet"/>
      </w:pPr>
      <w:r>
        <w:t>Run HealthMailer setup as the intended Outlook/Healthmail sender user so Outlook COM and the scheduled task use the correct Windows profile.</w:t>
      </w:r>
    </w:p>
    <w:p>
      <w:pPr>
        <w:pStyle w:val="ListBullet"/>
      </w:pPr>
      <w:r>
        <w:t>Live sending requires explicit installer-created approval. Use dry-run validation before enabling sending.</w:t>
      </w:r>
    </w:p>
    <w:p>
      <w:pPr>
        <w:pStyle w:val="ListBullet"/>
      </w:pPr>
      <w:r>
        <w:t>Validate the installation from the suite installer after setup.</w:t>
      </w:r>
    </w:p>
    <w:p>
      <w:pPr>
        <w:pStyle w:val="Heading1"/>
      </w:pPr>
      <w:r>
        <w:t>Uninstall and evidence</w:t>
      </w:r>
    </w:p>
    <w:p>
      <w:pPr>
        <w:pStyle w:val="ListBullet"/>
      </w:pPr>
      <w:r>
        <w:t>Standard uninstall preserves ProgramData, logs, configuration, archives, and audit/support evidence by default.</w:t>
      </w:r>
    </w:p>
    <w:p>
      <w:pPr>
        <w:pStyle w:val="ListBullet"/>
      </w:pPr>
      <w:r>
        <w:t>Use the remove-data option or --remove-data only for an explicitly approved clean lab reset.</w:t>
      </w:r>
    </w:p>
    <w:p>
      <w:pPr>
        <w:pStyle w:val="ListBullet"/>
      </w:pPr>
      <w:r>
        <w:t>Review support and audit requirements before deleting local data.</w:t>
      </w:r>
    </w:p>
    <w:p>
      <w:pPr>
        <w:pStyle w:val="Heading1"/>
      </w:pPr>
      <w:r>
        <w:t>Security and operational checks</w:t>
      </w:r>
    </w:p>
    <w:p>
      <w:pPr>
        <w:pStyle w:val="ListBullet"/>
      </w:pPr>
      <w:r>
        <w:t>Keep release bundles and support bundles on approved HSE-controlled storage.</w:t>
      </w:r>
    </w:p>
    <w:p>
      <w:pPr>
        <w:pStyle w:val="ListBullet"/>
      </w:pPr>
      <w:r>
        <w:t>Support bundles exclude PDF payloads by default, but logs and metadata may still contain sensitive information.</w:t>
      </w:r>
    </w:p>
    <w:p>
      <w:pPr>
        <w:pStyle w:val="ListBullet"/>
      </w:pPr>
      <w:r>
        <w:t>Confirm the Outlook profile, recipient restrictions, handoff ACLs, scheduled tasks, printer components, and log rotation during deployment review.</w:t>
      </w:r>
    </w:p>
    <w:p>
      <w:pPr>
        <w:pStyle w:val="Heading1"/>
      </w:pPr>
      <w:r>
        <w:t>Current release guidance</w:t>
      </w:r>
    </w:p>
    <w:p>
      <w:pPr>
        <w:pStyle w:val="ListBullet"/>
      </w:pPr>
      <w:r>
        <w:t>README.md</w:t>
      </w:r>
    </w:p>
    <w:p>
      <w:pPr>
        <w:pStyle w:val="ListBullet"/>
      </w:pPr>
      <w:r>
        <w:t>SECURITY.md</w:t>
      </w:r>
    </w:p>
    <w:p>
      <w:pPr>
        <w:pStyle w:val="ListBullet"/>
      </w:pPr>
      <w:r>
        <w:t>DEPLOYMENT.md</w:t>
      </w:r>
    </w:p>
    <w:p>
      <w:pPr>
        <w:pStyle w:val="ListBullet"/>
      </w:pPr>
      <w:r>
        <w:t>docs/OPERATIONS-RUNBOOK.md</w:t>
      </w:r>
    </w:p>
    <w:p>
      <w:pPr>
        <w:pStyle w:val="ListBullet"/>
      </w:pPr>
      <w:r>
        <w:t>docs/RELEASE-CHECKLIST.md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Current IT QRG - review alongside the repository release checklist and security guidance.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