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b w:val="false"/>
          <w:b w:val="false"/>
          <w:bCs w:val="false"/>
          <w:sz w:val="28"/>
          <w:szCs w:val="28"/>
        </w:rPr>
      </w:pPr>
      <w:r>
        <w:rPr>
          <w:rFonts w:eastAsia="Times New Roman"/>
          <w:b w:val="false"/>
          <w:bCs w:val="false"/>
          <w:sz w:val="28"/>
          <w:szCs w:val="28"/>
        </w:rPr>
        <w:t>The data:</w:t>
      </w:r>
    </w:p>
    <w:p>
      <w:pPr>
        <w:pStyle w:val="Normal"/>
        <w:spacing w:lineRule="auto" w:line="240" w:before="0" w:after="0"/>
        <w:rPr>
          <w:rFonts w:eastAsia="Times New Roman"/>
          <w:b w:val="false"/>
          <w:b w:val="false"/>
          <w:bCs w:val="false"/>
        </w:rPr>
      </w:pPr>
      <w:r>
        <w:rPr>
          <w:rFonts w:eastAsia="Times New Roman"/>
          <w:b w:val="false"/>
          <w:bCs w:val="false"/>
        </w:rPr>
      </w:r>
    </w:p>
    <w:tbl>
      <w:tblPr>
        <w:tblStyle w:val="GridTable1Light"/>
        <w:tblW w:w="9350" w:type="dxa"/>
        <w:jc w:val="left"/>
        <w:tblInd w:w="0" w:type="dxa"/>
        <w:tblCellMar>
          <w:top w:w="0" w:type="dxa"/>
          <w:left w:w="108" w:type="dxa"/>
          <w:bottom w:w="0" w:type="dxa"/>
          <w:right w:w="108" w:type="dxa"/>
        </w:tblCellMar>
        <w:tblLook w:val="04a0" w:noVBand="1" w:noHBand="0" w:lastColumn="0" w:firstColumn="1" w:lastRow="0" w:firstRow="1"/>
      </w:tblPr>
      <w:tblGrid>
        <w:gridCol w:w="1522"/>
        <w:gridCol w:w="1258"/>
        <w:gridCol w:w="1893"/>
        <w:gridCol w:w="2778"/>
        <w:gridCol w:w="1899"/>
      </w:tblGrid>
      <w:tr>
        <w:trPr>
          <w:cnfStyle w:val="100000000000" w:firstRow="1" w:lastRow="0" w:firstColumn="0" w:lastColumn="0" w:oddVBand="0" w:evenVBand="0" w:oddHBand="0" w:evenHBand="0" w:firstRowFirstColumn="0" w:firstRowLastColumn="0" w:lastRowFirstColumn="0" w:lastRowLastColumn="0"/>
        </w:trPr>
        <w:tc>
          <w:tcPr>
            <w:tcW w:w="152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rPr>
                <w:rFonts w:eastAsia="Times New Roman"/>
              </w:rPr>
            </w:pPr>
            <w:r>
              <w:rPr>
                <w:rFonts w:eastAsia="Times New Roman"/>
                <w:b/>
                <w:bCs/>
              </w:rPr>
              <w:t>Type</w:t>
            </w:r>
          </w:p>
        </w:tc>
        <w:tc>
          <w:tcPr>
            <w:tcW w:w="1258" w:type="dxa"/>
            <w:tcBorders>
              <w:bottom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rPr>
              <w:t># samples</w:t>
            </w:r>
          </w:p>
        </w:tc>
        <w:tc>
          <w:tcPr>
            <w:tcW w:w="1893" w:type="dxa"/>
            <w:tcBorders>
              <w:bottom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rPr>
              <w:t>Sequence status</w:t>
            </w:r>
          </w:p>
        </w:tc>
        <w:tc>
          <w:tcPr>
            <w:tcW w:w="2778" w:type="dxa"/>
            <w:tcBorders>
              <w:bottom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rPr>
              <w:t>Description</w:t>
            </w:r>
          </w:p>
        </w:tc>
        <w:tc>
          <w:tcPr>
            <w:tcW w:w="1899" w:type="dxa"/>
            <w:tcBorders>
              <w:bottom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rPr>
              <w:t>Source/Location</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Exon capture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260</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1400 exon capture; goal is for all murine species (~700)</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Kevin’s lab</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Exome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48</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Across murinae; used in Emily’s paper and by Gregg</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Kevin’s lab; Gregg</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Exome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48</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Focused on division Pseudomys</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Kevin’s lab; Carl</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Exome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10</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Mus samples from Jeff’s 2017 paper</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Jeff’s lab</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Exome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73</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In progress</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Across murinae</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Jeff’s lab</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Genome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9</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 xml:space="preserve">8 Mus strains/species and </w:t>
            </w:r>
            <w:r>
              <w:rPr>
                <w:rFonts w:eastAsia="Times New Roman"/>
                <w:b w:val="false"/>
                <w:bCs w:val="false"/>
                <w:i/>
                <w:iCs/>
              </w:rPr>
              <w:t>Rattus norvegicus</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Ensembl; Gregg</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Genome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6</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 xml:space="preserve">Complete </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Mostly African murinae</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Mike Lampson and Mia Levine at Upenn; Gregg</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Genome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2</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Complete</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Mastacomys and Pseudomys</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Kevin’s lab</w:t>
            </w:r>
          </w:p>
        </w:tc>
      </w:tr>
      <w:tr>
        <w:trPr/>
        <w:tc>
          <w:tcPr>
            <w:tcW w:w="1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b w:val="false"/>
                <w:b w:val="false"/>
                <w:bCs w:val="false"/>
              </w:rPr>
            </w:pPr>
            <w:r>
              <w:rPr>
                <w:rFonts w:eastAsia="Times New Roman"/>
                <w:b w:val="false"/>
                <w:bCs w:val="false"/>
              </w:rPr>
              <w:t>Genome</w:t>
            </w:r>
          </w:p>
        </w:tc>
        <w:tc>
          <w:tcPr>
            <w:tcW w:w="12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6</w:t>
            </w:r>
          </w:p>
        </w:tc>
        <w:tc>
          <w:tcPr>
            <w:tcW w:w="18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Proposed</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Body size/longevity contrasts and convergence</w:t>
            </w:r>
          </w:p>
        </w:tc>
        <w:tc>
          <w:tcPr>
            <w:tcW w:w="18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b w:val="false"/>
                <w:b w:val="false"/>
                <w:bCs w:val="false"/>
              </w:rPr>
            </w:pPr>
            <w:r>
              <w:rPr>
                <w:rFonts w:eastAsia="Times New Roman"/>
                <w:b w:val="false"/>
                <w:bCs w:val="false"/>
              </w:rPr>
              <w:t>Samples somewhere</w:t>
            </w:r>
          </w:p>
        </w:tc>
      </w:tr>
    </w:tbl>
    <w:p>
      <w:pPr>
        <w:pStyle w:val="Normal"/>
        <w:spacing w:lineRule="auto" w:line="240" w:before="0" w:after="0"/>
        <w:rPr>
          <w:rFonts w:eastAsia="Times New Roman"/>
          <w:b w:val="false"/>
          <w:b w:val="false"/>
          <w:bCs w:val="false"/>
        </w:rPr>
      </w:pPr>
      <w:r>
        <w:rPr>
          <w:rFonts w:eastAsia="Times New Roman"/>
          <w:b w:val="false"/>
          <w:bCs w:val="false"/>
        </w:rPr>
        <w:t>* Note that Ensembl has many other non-murine rodents that I will use in whole genome analyses.</w:t>
      </w:r>
    </w:p>
    <w:p>
      <w:pPr>
        <w:pStyle w:val="Normal"/>
        <w:spacing w:lineRule="auto" w:line="240" w:before="0" w:after="0"/>
        <w:rPr>
          <w:rFonts w:eastAsia="Times New Roman"/>
          <w:b w:val="false"/>
          <w:b w:val="false"/>
          <w:bCs w:val="false"/>
        </w:rPr>
      </w:pPr>
      <w:r>
        <w:rPr>
          <w:rFonts w:eastAsia="Times New Roman"/>
          <w:b w:val="false"/>
          <w:bCs w:val="false"/>
        </w:rPr>
      </w:r>
    </w:p>
    <w:p>
      <w:pPr>
        <w:pStyle w:val="Normal"/>
        <w:spacing w:lineRule="auto" w:line="240" w:before="0" w:after="0"/>
        <w:rPr>
          <w:rFonts w:eastAsia="Times New Roman"/>
          <w:b w:val="false"/>
          <w:b w:val="false"/>
          <w:bCs w:val="false"/>
        </w:rPr>
      </w:pPr>
      <w:r>
        <w:rPr>
          <w:rFonts w:eastAsia="Times New Roman"/>
          <w:b w:val="false"/>
          <w:bCs w:val="false"/>
        </w:rPr>
      </w:r>
    </w:p>
    <w:p>
      <w:pPr>
        <w:pStyle w:val="Normal"/>
        <w:spacing w:lineRule="auto" w:line="240" w:before="0" w:after="0"/>
        <w:rPr>
          <w:rFonts w:eastAsia="Times New Roman"/>
          <w:b w:val="false"/>
          <w:b w:val="false"/>
          <w:bCs w:val="false"/>
          <w:sz w:val="28"/>
          <w:szCs w:val="28"/>
        </w:rPr>
      </w:pPr>
      <w:r>
        <w:rPr>
          <w:rFonts w:eastAsia="Times New Roman"/>
          <w:b w:val="false"/>
          <w:bCs w:val="false"/>
          <w:sz w:val="28"/>
          <w:szCs w:val="28"/>
        </w:rPr>
        <w:t>The plan:</w:t>
      </w:r>
    </w:p>
    <w:p>
      <w:pPr>
        <w:pStyle w:val="Normal"/>
        <w:spacing w:lineRule="auto" w:line="240" w:before="0" w:after="0"/>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0"/>
        <w:contextualSpacing/>
        <w:rPr>
          <w:rFonts w:eastAsia="Times New Roman"/>
          <w:b w:val="false"/>
          <w:b w:val="false"/>
          <w:bCs w:val="false"/>
        </w:rPr>
      </w:pPr>
      <w:r>
        <w:rPr>
          <w:rFonts w:eastAsia="Times New Roman"/>
          <w:b w:val="false"/>
          <w:bCs w:val="false"/>
        </w:rPr>
        <w:t>Carl and I will combine our exome data and work on the best assembly/mapping method. Carl will focus on assembly with Spades and I will develop an iterative mapping approach. We will need to figure out a way to compare approaches</w:t>
      </w:r>
    </w:p>
    <w:p>
      <w:pPr>
        <w:pStyle w:val="ListParagraph"/>
        <w:spacing w:lineRule="auto" w:line="240" w:before="0" w:after="0"/>
        <w:contextualSpacing/>
        <w:rPr>
          <w:rFonts w:eastAsia="Times New Roman"/>
          <w:b w:val="false"/>
          <w:b w:val="false"/>
          <w:bCs w:val="false"/>
        </w:rPr>
      </w:pPr>
      <w:r>
        <w:rPr>
          <w:rFonts w:eastAsia="Times New Roman"/>
        </w:rPr>
        <w:t>Carl:</w:t>
      </w:r>
      <w:r>
        <w:rPr>
          <w:rFonts w:eastAsia="Times New Roman"/>
          <w:b w:val="false"/>
          <w:bCs w:val="false"/>
        </w:rPr>
        <w:t xml:space="preserve"> I will set us up a Box folder and email you in the next day or so.</w:t>
      </w:r>
    </w:p>
    <w:p>
      <w:pPr>
        <w:pStyle w:val="ListParagraph"/>
        <w:spacing w:lineRule="auto" w:line="240" w:before="0" w:after="0"/>
        <w:contextualSpacing/>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0"/>
        <w:contextualSpacing/>
        <w:rPr/>
      </w:pPr>
      <w:r>
        <w:rPr>
          <w:rFonts w:eastAsia="Times New Roman"/>
          <w:highlight w:val="yellow"/>
        </w:rPr>
        <w:t>Response requested</w:t>
      </w:r>
      <w:r>
        <w:rPr>
          <w:rFonts w:eastAsia="Times New Roman"/>
          <w:b w:val="false"/>
          <w:bCs w:val="false"/>
          <w:highlight w:val="yellow"/>
        </w:rPr>
        <w:t>:</w:t>
      </w:r>
      <w:r>
        <w:rPr>
          <w:rFonts w:eastAsia="Times New Roman"/>
          <w:b w:val="false"/>
          <w:bCs w:val="false"/>
        </w:rPr>
        <w:t xml:space="preserve"> If no one objects, I would like to compile all data in a single location (Box folder?) preferably with the top of the directory tree being the three folders </w:t>
      </w:r>
      <w:r>
        <w:rPr>
          <w:rFonts w:eastAsia="Times New Roman"/>
          <w:b w:val="false"/>
          <w:bCs w:val="false"/>
          <w:i/>
          <w:iCs/>
        </w:rPr>
        <w:t>exon-capture</w:t>
      </w:r>
      <w:r>
        <w:rPr>
          <w:rFonts w:eastAsia="Times New Roman"/>
          <w:b w:val="false"/>
          <w:bCs w:val="false"/>
        </w:rPr>
        <w:t xml:space="preserve">, </w:t>
      </w:r>
      <w:r>
        <w:rPr>
          <w:rFonts w:eastAsia="Times New Roman"/>
          <w:b w:val="false"/>
          <w:bCs w:val="false"/>
          <w:i/>
          <w:iCs/>
        </w:rPr>
        <w:t>exomes</w:t>
      </w:r>
      <w:r>
        <w:rPr>
          <w:rFonts w:eastAsia="Times New Roman"/>
          <w:b w:val="false"/>
          <w:bCs w:val="false"/>
        </w:rPr>
        <w:t xml:space="preserve">, and </w:t>
      </w:r>
      <w:r>
        <w:rPr>
          <w:rFonts w:eastAsia="Times New Roman"/>
          <w:b w:val="false"/>
          <w:bCs w:val="false"/>
          <w:i/>
          <w:iCs/>
        </w:rPr>
        <w:t>genomes</w:t>
      </w:r>
      <w:r>
        <w:rPr>
          <w:rFonts w:eastAsia="Times New Roman"/>
          <w:b w:val="false"/>
          <w:bCs w:val="false"/>
        </w:rPr>
        <w:t xml:space="preserve">, and sub-folders for each species sampled which would contain reads, mappings, and assemblies. </w:t>
      </w:r>
      <w:commentRangeStart w:id="0"/>
      <w:r>
        <w:rPr>
          <w:rFonts w:eastAsia="Times New Roman"/>
        </w:rPr>
        <w:t>What do you all think?</w:t>
      </w:r>
      <w:commentRangeEnd w:id="0"/>
      <w:r>
        <w:commentReference w:id="0"/>
      </w:r>
      <w:r>
        <w:rPr>
          <w:rFonts w:eastAsia="Times New Roman"/>
          <w:b w:val="false"/>
          <w:bCs w:val="false"/>
        </w:rPr>
      </w:r>
    </w:p>
    <w:p>
      <w:pPr>
        <w:pStyle w:val="Normal"/>
        <w:spacing w:lineRule="auto" w:line="240" w:before="0" w:after="0"/>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0"/>
        <w:contextualSpacing/>
        <w:rPr>
          <w:rFonts w:eastAsia="Times New Roman"/>
          <w:b w:val="false"/>
          <w:b w:val="false"/>
          <w:bCs w:val="false"/>
        </w:rPr>
      </w:pPr>
      <w:r>
        <w:rPr>
          <w:rFonts w:eastAsia="Times New Roman"/>
          <w:b w:val="false"/>
          <w:bCs w:val="false"/>
        </w:rPr>
        <w:t xml:space="preserve">For exomes, we are freezing the sampling at what is listed above. Though there was talk of sequencing all species of some </w:t>
      </w:r>
      <w:commentRangeStart w:id="1"/>
      <w:r>
        <w:rPr>
          <w:rFonts w:eastAsia="Times New Roman"/>
          <w:b w:val="false"/>
          <w:bCs w:val="false"/>
        </w:rPr>
        <w:t>genera</w:t>
      </w:r>
      <w:r>
        <w:rPr>
          <w:rFonts w:eastAsia="Times New Roman"/>
          <w:b w:val="false"/>
          <w:bCs w:val="false"/>
        </w:rPr>
      </w:r>
      <w:commentRangeEnd w:id="1"/>
      <w:r>
        <w:commentReference w:id="1"/>
      </w:r>
      <w:r>
        <w:rPr>
          <w:rFonts w:eastAsia="Times New Roman"/>
          <w:b w:val="false"/>
          <w:bCs w:val="false"/>
        </w:rPr>
        <w:t>. What would the timeframe of that be?</w:t>
      </w:r>
    </w:p>
    <w:p>
      <w:pPr>
        <w:pStyle w:val="ListParagraph"/>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0"/>
        <w:contextualSpacing/>
        <w:rPr>
          <w:rFonts w:eastAsia="Times New Roman"/>
          <w:b w:val="false"/>
          <w:b w:val="false"/>
          <w:bCs w:val="false"/>
        </w:rPr>
      </w:pPr>
      <w:r>
        <w:rPr>
          <w:rFonts w:eastAsia="Times New Roman"/>
          <w:b w:val="false"/>
          <w:bCs w:val="false"/>
        </w:rPr>
        <w:t>For now, I would only use a few Pseudomys exomes from the 48 Carl is using so the sampling is not to heavy from that single division. Carl and I can discuss which ones would be best for my analyses.</w:t>
      </w:r>
    </w:p>
    <w:p>
      <w:pPr>
        <w:pStyle w:val="ListParagraph"/>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0"/>
        <w:contextualSpacing/>
        <w:rPr>
          <w:rFonts w:eastAsia="Times New Roman"/>
          <w:b w:val="false"/>
          <w:b w:val="false"/>
          <w:bCs w:val="false"/>
        </w:rPr>
      </w:pPr>
      <w:r>
        <w:rPr>
          <w:rFonts w:eastAsia="Times New Roman"/>
          <w:b w:val="false"/>
          <w:bCs w:val="false"/>
        </w:rPr>
        <w:t>For whole genome sequencing, we are proposing to sequence:</w:t>
      </w:r>
    </w:p>
    <w:p>
      <w:pPr>
        <w:pStyle w:val="Normal"/>
        <w:numPr>
          <w:ilvl w:val="1"/>
          <w:numId w:val="1"/>
        </w:numPr>
        <w:spacing w:lineRule="auto" w:line="240" w:before="0" w:after="0"/>
        <w:rPr>
          <w:rFonts w:eastAsia="Times New Roman"/>
          <w:b w:val="false"/>
          <w:b w:val="false"/>
          <w:bCs w:val="false"/>
        </w:rPr>
      </w:pPr>
      <w:r>
        <w:rPr>
          <w:rFonts w:eastAsia="Times New Roman"/>
          <w:b w:val="false"/>
          <w:bCs w:val="false"/>
        </w:rPr>
        <w:t>Phloeomys, Musseromys, Papagomys, and Komodomys for body size/longevity contrasts</w:t>
      </w:r>
    </w:p>
    <w:p>
      <w:pPr>
        <w:pStyle w:val="Normal"/>
        <w:numPr>
          <w:ilvl w:val="1"/>
          <w:numId w:val="1"/>
        </w:numPr>
        <w:spacing w:lineRule="auto" w:line="240" w:before="0" w:after="0"/>
        <w:rPr>
          <w:rFonts w:eastAsia="Times New Roman"/>
          <w:b w:val="false"/>
          <w:b w:val="false"/>
          <w:bCs w:val="false"/>
        </w:rPr>
      </w:pPr>
      <w:r>
        <w:rPr>
          <w:rFonts w:eastAsia="Times New Roman"/>
          <w:b w:val="false"/>
          <w:bCs w:val="false"/>
        </w:rPr>
        <w:t>Crossomys and Waiomys for amphibousness convergence</w:t>
      </w:r>
    </w:p>
    <w:p>
      <w:pPr>
        <w:pStyle w:val="Normal"/>
        <w:numPr>
          <w:ilvl w:val="1"/>
          <w:numId w:val="1"/>
        </w:numPr>
        <w:spacing w:lineRule="auto" w:line="240" w:before="0" w:after="0"/>
        <w:rPr/>
      </w:pPr>
      <w:r>
        <w:rPr>
          <w:rFonts w:eastAsia="Times New Roman"/>
          <w:b w:val="false"/>
          <w:bCs w:val="false"/>
        </w:rPr>
        <w:t>Paucidentomys for worm-sucking convergence (Mastaco</w:t>
      </w:r>
      <w:r>
        <w:rPr>
          <w:rFonts w:eastAsia="Times New Roman"/>
          <w:b w:val="false"/>
          <w:bCs w:val="false"/>
        </w:rPr>
        <w:commentReference w:id="2"/>
      </w:r>
      <w:r>
        <w:rPr>
          <w:rFonts w:eastAsia="Times New Roman"/>
          <w:b w:val="false"/>
          <w:bCs w:val="false"/>
        </w:rPr>
        <w:t>mys is already sequenced)</w:t>
      </w:r>
    </w:p>
    <w:p>
      <w:pPr>
        <w:pStyle w:val="Normal"/>
        <w:spacing w:lineRule="auto" w:line="240" w:before="0" w:afterAutospacing="1"/>
        <w:ind w:left="720" w:hanging="0"/>
        <w:rPr>
          <w:rFonts w:eastAsia="Times New Roman"/>
          <w:b w:val="false"/>
          <w:b w:val="false"/>
          <w:bCs w:val="false"/>
        </w:rPr>
      </w:pPr>
      <w:r>
        <w:rPr>
          <w:rFonts w:eastAsia="Times New Roman"/>
          <w:b w:val="false"/>
          <w:bCs w:val="false"/>
        </w:rPr>
        <w:t>For this sampling, I want to confirm that we will have the proper sister comparisons for convergence tests in the next couple of days.</w:t>
      </w:r>
    </w:p>
    <w:p>
      <w:pPr>
        <w:pStyle w:val="Normal"/>
        <w:spacing w:lineRule="auto" w:line="240" w:before="0" w:afterAutospacing="1"/>
        <w:ind w:left="720" w:hanging="0"/>
        <w:rPr>
          <w:rFonts w:eastAsia="Times New Roman"/>
          <w:b w:val="false"/>
          <w:b w:val="false"/>
          <w:bCs w:val="false"/>
        </w:rPr>
      </w:pPr>
      <w:r>
        <w:rPr>
          <w:rFonts w:eastAsia="Times New Roman"/>
          <w:b w:val="false"/>
          <w:bCs w:val="false"/>
        </w:rPr>
        <w:t>We also mentioned sequencing Notomys, but I’m not sure if that was for a specific reason or just a possibility.</w:t>
      </w:r>
    </w:p>
    <w:p>
      <w:pPr>
        <w:pStyle w:val="ListParagraph"/>
        <w:numPr>
          <w:ilvl w:val="0"/>
          <w:numId w:val="1"/>
        </w:numPr>
        <w:spacing w:lineRule="auto" w:line="240" w:before="0" w:afterAutospacing="1"/>
        <w:contextualSpacing/>
        <w:rPr>
          <w:rFonts w:eastAsia="Times New Roman"/>
          <w:b w:val="false"/>
          <w:b w:val="false"/>
          <w:bCs w:val="false"/>
        </w:rPr>
      </w:pPr>
      <w:r>
        <w:rPr>
          <w:rFonts w:eastAsia="Times New Roman"/>
          <w:b w:val="false"/>
          <w:bCs w:val="false"/>
        </w:rPr>
        <w:t>Whole genome sequencing will be simple shotgun sequencing</w:t>
      </w:r>
    </w:p>
    <w:p>
      <w:pPr>
        <w:pStyle w:val="ListParagraph"/>
        <w:spacing w:lineRule="auto" w:line="240" w:before="0" w:afterAutospacing="1"/>
        <w:contextualSpacing/>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Autospacing="1"/>
        <w:contextualSpacing/>
        <w:rPr>
          <w:rFonts w:eastAsia="Times New Roman"/>
          <w:b w:val="false"/>
          <w:b w:val="false"/>
          <w:bCs w:val="false"/>
        </w:rPr>
      </w:pPr>
      <w:r>
        <w:rPr>
          <w:rFonts w:eastAsia="Times New Roman"/>
          <w:b w:val="false"/>
          <w:bCs w:val="false"/>
        </w:rPr>
        <w:t>I will be finishing an NIH NRSA in the next couple of weeks that will be centered on the whole genome sequencing. The aims focus on phylogenetic discordance, molecular evolution (rate variation), and molecular convergence, and how sampling genomes compares to sampling exomes. We didn’t get around to discussing this, but it would be great to have Jake and Kevin as co-sponsors or collaborators!</w:t>
      </w:r>
    </w:p>
    <w:p>
      <w:pPr>
        <w:pStyle w:val="ListParagraph"/>
        <w:rPr>
          <w:rFonts w:eastAsia="Times New Roman"/>
          <w:b w:val="false"/>
          <w:b w:val="false"/>
          <w:bCs w:val="false"/>
        </w:rPr>
      </w:pPr>
      <w:r>
        <w:rPr>
          <w:rFonts w:eastAsia="Times New Roman"/>
          <w:b w:val="false"/>
          <w:bCs w:val="false"/>
        </w:rPr>
      </w:r>
    </w:p>
    <w:p>
      <w:pPr>
        <w:pStyle w:val="ListParagraph"/>
        <w:numPr>
          <w:ilvl w:val="0"/>
          <w:numId w:val="1"/>
        </w:numPr>
        <w:spacing w:lineRule="auto" w:line="240" w:before="0" w:afterAutospacing="1"/>
        <w:contextualSpacing/>
        <w:rPr>
          <w:rFonts w:eastAsia="Times New Roman"/>
        </w:rPr>
      </w:pPr>
      <w:r>
        <w:rPr>
          <w:rFonts w:eastAsia="Times New Roman"/>
        </w:rPr>
        <w:t xml:space="preserve">We will have a Skype call </w:t>
      </w:r>
      <w:bookmarkStart w:id="0" w:name="_GoBack"/>
      <w:bookmarkEnd w:id="0"/>
      <w:r>
        <w:rPr>
          <w:rFonts w:eastAsia="Times New Roman"/>
        </w:rPr>
        <w:t>on Tuesday November 26</w:t>
      </w:r>
      <w:r>
        <w:rPr>
          <w:rFonts w:eastAsia="Times New Roman"/>
          <w:vertAlign w:val="superscript"/>
        </w:rPr>
        <w:t>th</w:t>
      </w:r>
      <w:r>
        <w:rPr>
          <w:rFonts w:eastAsia="Times New Roman"/>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ke " w:date="2019-11-16T06:12:49Z" w:initials="j">
    <w:p>
      <w:r>
        <w:rPr>
          <w:rFonts w:eastAsia="Calibri" w:eastAsiaTheme="minorHAnsi" w:cs="Times New Roman" w:ascii="Times New Roman" w:hAnsi="Times New Roman"/>
          <w:b/>
          <w:bCs/>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long as the 15gb file size limit and restrictions of nested folders (max of 4) are not problems, I like the idea.</w:t>
      </w:r>
    </w:p>
  </w:comment>
  <w:comment w:id="1" w:author="jake " w:date="2019-11-16T06:14:16Z" w:initials="j">
    <w:p>
      <w:r>
        <w:rPr>
          <w:rFonts w:eastAsia="Calibri" w:eastAsiaTheme="minorHAnsi" w:cs="Times New Roman" w:ascii="Times New Roman" w:hAnsi="Times New Roman"/>
          <w:b/>
          <w:bCs/>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Kevin was going to send libraries of all the Bunomys clade members for exome sequencing at UMT. This would give us two clades on Sulawesi with exome data for comparison.</w:t>
      </w:r>
    </w:p>
  </w:comment>
  <w:comment w:id="2" w:author="jake " w:date="2019-11-16T06:11:55Z" w:initials="j">
    <w:p>
      <w:r>
        <w:rPr>
          <w:rFonts w:eastAsia="Calibri" w:eastAsiaTheme="minorHAnsi" w:cs="Times New Roman" w:ascii="Times New Roman" w:hAnsi="Times New Roman"/>
          <w:b/>
          <w:bCs/>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think you mean Rhynchomys, the other worm sucker from Luzon. Wasn’t it included in the samples seq’d by Upenn? Mastacomys is indeed already sequenced at genome level, but it is not a worm sucker.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b/>
      <w:bCs/>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d4b4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4b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ed4b4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4B7D-8484-426C-BD5C-8CDA6410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LibreOffice/6.3.2.2$Linux_X86_64 LibreOffice_project/30$Build-2</Application>
  <Pages>2</Pages>
  <Words>482</Words>
  <Characters>2406</Characters>
  <CharactersWithSpaces>2811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2019-11-14T22:38:00Z</dcterms:created>
  <dc:creator>Thomas, Gregg William Cline</dc:creator>
  <dc:description/>
  <dc:language>en-US</dc:language>
  <cp:lastModifiedBy>jake </cp:lastModifiedBy>
  <dcterms:modified xsi:type="dcterms:W3CDTF">2019-11-16T06:19:19Z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