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7sfzjfguyao">
        <w:r w:rsidDel="00000000" w:rsidR="00000000" w:rsidRPr="00000000">
          <w:rPr>
            <w:color w:val="1155cc"/>
            <w:u w:val="single"/>
            <w:rtl w:val="0"/>
          </w:rPr>
          <w:t xml:space="preserve">Install CIT compute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c9n7dh3l44i">
        <w:r w:rsidDel="00000000" w:rsidR="00000000" w:rsidRPr="00000000">
          <w:rPr>
            <w:color w:val="1155cc"/>
            <w:u w:val="single"/>
            <w:rtl w:val="0"/>
          </w:rPr>
          <w:t xml:space="preserve">Prerequisites on Host for creating Baremetal Trustpolicy from 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4e7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This document describes the procedure to setup a CIT Compute Node for Windows Server 2012 R2 with Hyper-V environment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00000"/>
          <w:sz w:val="28"/>
          <w:szCs w:val="28"/>
          <w:rtl w:val="0"/>
        </w:rPr>
        <w:t xml:space="preserve">Prerequisites: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color w:val="c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c00000"/>
          <w:sz w:val="28"/>
          <w:szCs w:val="28"/>
          <w:rtl w:val="0"/>
        </w:rPr>
        <w:t xml:space="preserve">Cloud Controller Kilo with Neutron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color w:val="c00000"/>
          <w:sz w:val="28"/>
          <w:szCs w:val="28"/>
          <w:u w:val="none"/>
        </w:rPr>
      </w:pPr>
      <w:r w:rsidDel="00000000" w:rsidR="00000000" w:rsidRPr="00000000">
        <w:rPr>
          <w:color w:val="c00000"/>
          <w:sz w:val="28"/>
          <w:szCs w:val="28"/>
          <w:rtl w:val="0"/>
        </w:rPr>
        <w:t xml:space="preserve">CIT Server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color w:val="c00000"/>
          <w:sz w:val="28"/>
          <w:szCs w:val="28"/>
        </w:rPr>
      </w:pPr>
      <w:r w:rsidDel="00000000" w:rsidR="00000000" w:rsidRPr="00000000">
        <w:rPr>
          <w:color w:val="c00000"/>
          <w:sz w:val="28"/>
          <w:szCs w:val="28"/>
          <w:rtl w:val="0"/>
        </w:rPr>
        <w:t xml:space="preserve">Trust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required installer is located 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i w:val="1"/>
          <w:color w:val="c55911"/>
          <w:rtl w:val="0"/>
        </w:rPr>
        <w:t xml:space="preserve"> </w:t>
      </w:r>
      <w:r w:rsidDel="00000000" w:rsidR="00000000" w:rsidRPr="00000000">
        <w:rPr>
          <w:b w:val="1"/>
          <w:color w:val="0563c1"/>
          <w:u w:val="single"/>
          <w:rtl w:val="0"/>
        </w:rPr>
        <w:t xml:space="preserve">\\fmcsssan101\CSSShare\</w:t>
      </w:r>
      <w:r w:rsidDel="00000000" w:rsidR="00000000" w:rsidRPr="00000000">
        <w:rPr>
          <w:b w:val="1"/>
          <w:color w:val="0563c1"/>
          <w:u w:val="single"/>
          <w:rtl w:val="0"/>
        </w:rPr>
        <w:t xml:space="preserve">Projects\To_GSLABs\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563c1"/>
          <w:u w:val="single"/>
          <w:rtl w:val="0"/>
        </w:rPr>
        <w:t xml:space="preserve">CIT_3.2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7sfzjfguyao" w:id="0"/>
      <w:bookmarkEnd w:id="0"/>
      <w:r w:rsidDel="00000000" w:rsidR="00000000" w:rsidRPr="00000000">
        <w:rPr>
          <w:color w:val="000000"/>
          <w:sz w:val="32"/>
          <w:szCs w:val="32"/>
          <w:highlight w:val="darkGray"/>
          <w:rtl w:val="0"/>
        </w:rPr>
        <w:t xml:space="preserve">Install CIT compute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CIT compute node is a complete installer that installs CIT components in following sequence: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TrustAgent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PolicyAgent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Tbootxm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vRTM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.20000000000005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Openstack-extension</w:t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.20000000000005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 for installing CIT compute node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</w:t>
      </w:r>
      <w:r w:rsidDel="00000000" w:rsidR="00000000" w:rsidRPr="00000000">
        <w:rPr>
          <w:sz w:val="28"/>
          <w:szCs w:val="28"/>
          <w:rtl w:val="0"/>
        </w:rPr>
        <w:t xml:space="preserve">Hyper-V feature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Openstack Nova-Compute Kilo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bitlocker with all its features (System will be rebooted once bitlocker is installed)</w:t>
      </w:r>
    </w:p>
    <w:p w:rsidR="00000000" w:rsidDel="00000000" w:rsidP="00000000" w:rsidRDefault="00000000" w:rsidRPr="00000000">
      <w:pPr>
        <w:spacing w:after="0" w:line="331.2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Open powershell commandline</w:t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Execute command </w:t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Install-WindowsFeature BitLocker -IncludeAllSubFeature -IncludeManagementTools -Restart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cygwin at “C:\cygwin64” location. Make sure you select “patchutils” </w:t>
        <w:tab/>
        <w:t xml:space="preserve">during cygwin installation</w:t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CIT compute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Execute CIT compute node </w:t>
      </w:r>
      <w:r w:rsidDel="00000000" w:rsidR="00000000" w:rsidRPr="00000000">
        <w:rPr>
          <w:sz w:val="28"/>
          <w:szCs w:val="28"/>
          <w:rtl w:val="0"/>
        </w:rPr>
        <w:t xml:space="preserve">installer </w:t>
      </w:r>
      <w:r w:rsidDel="00000000" w:rsidR="00000000" w:rsidRPr="00000000">
        <w:rPr>
          <w:sz w:val="28"/>
          <w:szCs w:val="28"/>
          <w:rtl w:val="0"/>
        </w:rPr>
        <w:t xml:space="preserve">(cit-compute-node-setup.exe) by double clicking on it.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TrustAgent installation will start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During TA installation, provide CIT Server details when installer asks for the same as shown in following snapshot:</w:t>
      </w:r>
    </w:p>
    <w:p w:rsidR="00000000" w:rsidDel="00000000" w:rsidP="00000000" w:rsidRDefault="00000000" w:rsidRPr="00000000">
      <w:pPr>
        <w:spacing w:after="0" w:line="331.2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95850" cy="3810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PolicyAgent installation will start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During PA installation select any one of the 2 options as shown in following snapshot: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="331.2" w:lineRule="auto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drive to create new partition:</w:t>
      </w:r>
    </w:p>
    <w:p w:rsidR="00000000" w:rsidDel="00000000" w:rsidP="00000000" w:rsidRDefault="00000000" w:rsidRPr="00000000">
      <w:pPr>
        <w:spacing w:after="0" w:line="331.2" w:lineRule="auto"/>
        <w:ind w:left="21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This option will use the existing partition to create a new partition out of it and use it for encryption</w:t>
      </w:r>
    </w:p>
    <w:p w:rsidR="00000000" w:rsidDel="00000000" w:rsidP="00000000" w:rsidRDefault="00000000" w:rsidRPr="00000000">
      <w:pPr>
        <w:spacing w:after="0" w:line="331.2" w:lineRule="auto"/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015828" cy="311943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82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854711" cy="30241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711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871913" cy="30357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3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="331.2" w:lineRule="auto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drive as a new partition </w:t>
      </w:r>
    </w:p>
    <w:p w:rsidR="00000000" w:rsidDel="00000000" w:rsidP="00000000" w:rsidRDefault="00000000" w:rsidRPr="00000000">
      <w:pPr>
        <w:spacing w:after="0" w:line="331.2" w:lineRule="auto"/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This option will use the already created partition for encryption</w:t>
      </w:r>
    </w:p>
    <w:p w:rsidR="00000000" w:rsidDel="00000000" w:rsidP="00000000" w:rsidRDefault="00000000" w:rsidRPr="00000000">
      <w:pPr>
        <w:spacing w:after="0" w:line="331.2" w:lineRule="auto"/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033838" cy="3156576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15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Tbootxm installation will start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During installation “tbootxm” driver will be installed and prompt will be displayed for system restart. Select “Restart later” option.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vRTM installation will start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Openstack-extension installation will start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the following after installation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“Intel CIT Trustagent” service is running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“Intel CIT UnlockDrive” service is running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Unlock icon is displayed on encryption drive that was selected during installation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Create manifest.xml using Trust Director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“tbootxm” driver is installed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“Intel CIT vRTM” service is in running state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trustpolicy for non-virtualized server using Trust Director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</w:t>
      </w:r>
      <w:r w:rsidDel="00000000" w:rsidR="00000000" w:rsidRPr="00000000">
        <w:rPr>
          <w:sz w:val="28"/>
          <w:szCs w:val="28"/>
          <w:rtl w:val="0"/>
        </w:rPr>
        <w:t xml:space="preserve">er successfull installation of all the CIT components reboot the host system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Ensure the following after reboot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 CIT TrustAgent service is in running state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 CIT vRTM service is in running state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 CIT UnlockDrive service is in running state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331.2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tbootxm driver is loaded and is in running state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Whitelist the host on CIT Server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is now ready to launch instances via Openstack Horizon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275hq07tl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c9n7dh3l44i" w:id="2"/>
      <w:bookmarkEnd w:id="2"/>
      <w:r w:rsidDel="00000000" w:rsidR="00000000" w:rsidRPr="00000000">
        <w:rPr>
          <w:color w:val="000000"/>
          <w:sz w:val="32"/>
          <w:szCs w:val="32"/>
          <w:highlight w:val="darkGray"/>
          <w:rtl w:val="0"/>
        </w:rPr>
        <w:t xml:space="preserve">Prerequisites on Host for creating Baremetal Trustpolicy from 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 on compute-node/host for creating baremetal trustpolicy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31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Netbios </w:t>
      </w:r>
      <w:r w:rsidDel="00000000" w:rsidR="00000000" w:rsidRPr="00000000">
        <w:rPr>
          <w:sz w:val="28"/>
          <w:szCs w:val="28"/>
          <w:rtl w:val="0"/>
        </w:rPr>
        <w:t xml:space="preserve">setting for network adapter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331.2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Network and Sharing Center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331.2" w:lineRule="auto"/>
        <w:ind w:left="1440" w:hanging="360"/>
        <w:contextualSpacing w:val="1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Click on the Network adapter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(“Local Area Connection Status” window will be displayed)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as highlighted in following snapshot</w:t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57813" cy="3481676"/>
            <wp:effectExtent b="0" l="0" r="0" t="0"/>
            <wp:docPr descr="1.JPG" id="8" name="image16.jpg"/>
            <a:graphic>
              <a:graphicData uri="http://schemas.openxmlformats.org/drawingml/2006/picture">
                <pic:pic>
                  <pic:nvPicPr>
                    <pic:cNvPr descr="1.JPG"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481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331.2" w:lineRule="auto"/>
        <w:ind w:left="1440" w:hanging="360"/>
        <w:contextualSpacing w:val="1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Click on the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button on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 Local Area Connection Status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window as highlighted in following snapshot</w:t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05200" cy="4216400"/>
            <wp:effectExtent b="0" l="0" r="0" t="0"/>
            <wp:docPr descr="2.JPG" id="7" name="image14.jpg"/>
            <a:graphic>
              <a:graphicData uri="http://schemas.openxmlformats.org/drawingml/2006/picture">
                <pic:pic>
                  <pic:nvPicPr>
                    <pic:cNvPr descr="2.JPG"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60" w:line="345.6" w:lineRule="auto"/>
        <w:ind w:left="1440" w:hanging="360"/>
        <w:contextualSpacing w:val="1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Internet Protocol Version 4 (TCP/IPv4)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and click on the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button as highlighted in following snapshot</w:t>
      </w:r>
    </w:p>
    <w:p w:rsidR="00000000" w:rsidDel="00000000" w:rsidP="00000000" w:rsidRDefault="00000000" w:rsidRPr="00000000">
      <w:pPr>
        <w:spacing w:after="60"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62687" cy="4729163"/>
            <wp:effectExtent b="0" l="0" r="0" t="0"/>
            <wp:docPr descr="3.JPG" id="6" name="image13.jpg"/>
            <a:graphic>
              <a:graphicData uri="http://schemas.openxmlformats.org/drawingml/2006/picture">
                <pic:pic>
                  <pic:nvPicPr>
                    <pic:cNvPr descr="3.JPG"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687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331.2" w:lineRule="auto"/>
        <w:ind w:left="1440" w:hanging="360"/>
        <w:contextualSpacing w:val="1"/>
        <w:rPr>
          <w:rFonts w:ascii="Arial" w:cs="Arial" w:eastAsia="Arial" w:hAnsi="Arial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Advanced...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button as highlighted in following snapshot</w:t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ind w:left="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28565" cy="4271963"/>
            <wp:effectExtent b="0" l="0" r="0" t="0"/>
            <wp:docPr descr="4.JPG" id="4" name="image11.jpg"/>
            <a:graphic>
              <a:graphicData uri="http://schemas.openxmlformats.org/drawingml/2006/picture">
                <pic:pic>
                  <pic:nvPicPr>
                    <pic:cNvPr descr="4.JPG"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565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line="345.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60" w:line="345.6" w:lineRule="auto"/>
        <w:ind w:left="1440" w:hanging="360"/>
        <w:contextualSpacing w:val="1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Go to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WINS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tab and select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Enable NetBIOS Over TCP/IP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as highlighted in following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73813" cy="4986338"/>
            <wp:effectExtent b="0" l="0" r="0" t="0"/>
            <wp:docPr descr="5.JPG" id="9" name="image17.jpg"/>
            <a:graphic>
              <a:graphicData uri="http://schemas.openxmlformats.org/drawingml/2006/picture">
                <pic:pic>
                  <pic:nvPicPr>
                    <pic:cNvPr descr="5.JPG"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813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26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rial"/>
  <w:font w:name="Tahoma">
    <w:embedRegular r:id="rId1" w:subsetted="0"/>
    <w:embedBold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10130.0" w:type="dxa"/>
      <w:jc w:val="center"/>
      <w:tblInd w:w="-115.0" w:type="dxa"/>
      <w:tblLayout w:type="fixed"/>
      <w:tblLook w:val="0400"/>
    </w:tblPr>
    <w:tblGrid>
      <w:gridCol w:w="5071"/>
      <w:gridCol w:w="5059"/>
      <w:tblGridChange w:id="0">
        <w:tblGrid>
          <w:gridCol w:w="5071"/>
          <w:gridCol w:w="5059"/>
        </w:tblGrid>
      </w:tblGridChange>
    </w:tblGrid>
    <w:tr>
      <w:trPr>
        <w:trHeight w:val="100" w:hRule="atLeast"/>
      </w:trPr>
      <w:tc>
        <w:tcPr>
          <w:shd w:fill="5b9bd5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72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5b9bd5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72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720" w:before="0" w:line="24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b w:val="0"/>
                <w:smallCaps w:val="1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8745" distR="118745" hidden="0" layoutInCell="0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1000125</wp:posOffset>
              </wp:positionV>
              <wp:extent cx="6129338" cy="285750"/>
              <wp:effectExtent b="0" l="0" r="0" t="0"/>
              <wp:wrapSquare wrapText="bothSides" distB="0" distT="0" distL="118745" distR="118745"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0981" y="3644771"/>
                        <a:ext cx="5950039" cy="270456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CIT WINDOWS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INSTALL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GUIDE</w:t>
                          </w: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0" behindDoc="0" distB="0" distT="0" distL="118745" distR="118745" hidden="0" layoutInCell="0" locked="0" relativeHeight="0" simplePos="0">
              <wp:simplePos x="0" y="0"/>
              <wp:positionH relativeFrom="margin">
                <wp:posOffset>-114299</wp:posOffset>
              </wp:positionH>
              <wp:positionV relativeFrom="paragraph">
                <wp:posOffset>1000125</wp:posOffset>
              </wp:positionV>
              <wp:extent cx="6129338" cy="285750"/>
              <wp:effectExtent b="0" l="0" r="0" t="0"/>
              <wp:wrapSquare wrapText="bothSides" distB="0" distT="0" distL="118745" distR="118745"/>
              <wp:docPr id="1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338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jpg"/><Relationship Id="rId10" Type="http://schemas.openxmlformats.org/officeDocument/2006/relationships/image" Target="media/image16.jpg"/><Relationship Id="rId13" Type="http://schemas.openxmlformats.org/officeDocument/2006/relationships/image" Target="media/image11.jpg"/><Relationship Id="rId12" Type="http://schemas.openxmlformats.org/officeDocument/2006/relationships/image" Target="media/image13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header" Target="header1.xml"/><Relationship Id="rId14" Type="http://schemas.openxmlformats.org/officeDocument/2006/relationships/image" Target="media/image17.jpg"/><Relationship Id="rId16" Type="http://schemas.openxmlformats.org/officeDocument/2006/relationships/footer" Target="footer1.xml"/><Relationship Id="rId5" Type="http://schemas.openxmlformats.org/officeDocument/2006/relationships/image" Target="media/image19.png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