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z w:val="52"/>
          <w:szCs w:val="52"/>
        </w:rPr>
        <w:t xml:space="preserve">aiPHeed</w:t>
      </w:r>
    </w:p>
    <w:p>
      <w:pPr>
        <w:spacing w:after="40"/>
      </w:pPr>
      <w:r>
        <w:rPr>
          <w:b/>
          <w:bCs/>
          <w:color w:val="6B7280"/>
          <w:sz w:val="28"/>
          <w:szCs w:val="28"/>
        </w:rPr>
        <w:t xml:space="preserve">Model Performance Report</w:t>
      </w:r>
    </w:p>
    <w:p>
      <w:pPr>
        <w:spacing w:after="380"/>
      </w:pPr>
      <w:r>
        <w:rPr>
          <w:i/>
          <w:iCs/>
          <w:color w:val="6B7280"/>
          <w:sz w:val="20"/>
          <w:szCs w:val="20"/>
        </w:rPr>
        <w:t xml:space="preserve">Prepared September 23, 2026</w:t>
      </w:r>
    </w:p>
    <w:p>
      <w:pPr>
        <w:spacing w:after="150"/>
      </w:pPr>
      <w:r>
        <w:rPr>
          <w:i/>
          <w:iCs/>
          <w:color w:val="6B7280"/>
        </w:rPr>
        <w:t xml:space="preserve">This report documents the current, real performance of the aiPHeed food-availability shock model: the overall figures, where the model already clears the 75% acceptance bar, why the pooled average does not clear it on every metric, and the complete record of what was tested this cycle to improve it.</w:t>
      </w:r>
    </w:p>
    <w:p>
      <w:pPr>
        <w:pBdr>
          <w:bottom w:val="single" w:color="D1D5DB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40"/>
      </w:pPr>
      <w:r>
        <w:t xml:space="preserve">1. Executive Summary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model's overall accuracy (81.5%) and ranking ability (AUC 0.81) both exceed the 75% bar.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Overall precision (70.2%), recall (60.4%), and F1 (65.0%) fall short of 75% as a pooled average across all provinces and commodity types.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This is not a new problem introduced by recent work -- the same pooled average has never cleared 75% on all four metrics, including in the model version that predates this development cycle.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Specific, real slices of the same model DO clear 75% on every metric at once: fisheries as a commodity category, and Batangas as a province (both detailed in Section 2).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Five distinct, legitimate approaches were tested this cycle to close the gap on the pooled average. None succeeded; each is documented in Section 4 with its real measured result, not asserted from memory.</w:t>
      </w:r>
    </w:p>
    <w:p>
      <w:pPr>
        <w:pBdr>
          <w:bottom w:val="single" w:color="D1D5DB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40"/>
      </w:pPr>
      <w:r>
        <w:t xml:space="preserve">2. Current Performance</w:t>
      </w:r>
    </w:p>
    <w:p>
      <w:pPr>
        <w:pStyle w:val="Heading2"/>
        <w:spacing w:after="110" w:before="260"/>
      </w:pPr>
      <w:r>
        <w:t xml:space="preserve">2.1 Overall (pooled across all 5 provinces, 3 commodity groups)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2"/>
          <w:insideV w:val="single" w:color="D1D5DB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16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16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Clears 75%?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81.5%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1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Precision (shock class)</w:t>
            </w:r>
          </w:p>
        </w:tc>
        <w:tc>
          <w:tcPr>
            <w:tcW w:type="dxa" w:w="311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70.2%</w:t>
            </w:r>
          </w:p>
        </w:tc>
        <w:tc>
          <w:tcPr>
            <w:tcW w:type="dxa" w:w="311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Recall (shock class)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60.4%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1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F1 (shock class)</w:t>
            </w:r>
          </w:p>
        </w:tc>
        <w:tc>
          <w:tcPr>
            <w:tcW w:type="dxa" w:w="311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65.0%</w:t>
            </w:r>
          </w:p>
        </w:tc>
        <w:tc>
          <w:tcPr>
            <w:tcW w:type="dxa" w:w="311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AUC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  <w:spacing w:after="110" w:before="260"/>
      </w:pPr>
      <w:r>
        <w:t xml:space="preserve">2.2 Slices that clear 75% on every metric</w:t>
      </w:r>
    </w:p>
    <w:p>
      <w:pPr>
        <w:spacing w:after="150"/>
      </w:pPr>
      <w:r>
        <w:t xml:space="preserve">These are not cherry-picked outliers -- they are the model's own reported breakdown by commodity group and by province, computed the same walk-forward way as the overall figure.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2"/>
          <w:insideV w:val="single" w:color="D1D5DB" w:sz="2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Slice</w:t>
            </w:r>
          </w:p>
        </w:tc>
        <w:tc>
          <w:tcPr>
            <w:tcW w:type="dxa" w:w="187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87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87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87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187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Fisheries (commodity group)</w:t>
            </w:r>
          </w:p>
        </w:tc>
        <w:tc>
          <w:tcPr>
            <w:tcW w:type="dxa" w:w="187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79.1%</w:t>
            </w:r>
          </w:p>
        </w:tc>
        <w:tc>
          <w:tcPr>
            <w:tcW w:type="dxa" w:w="187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79.6%</w:t>
            </w:r>
          </w:p>
        </w:tc>
        <w:tc>
          <w:tcPr>
            <w:tcW w:type="dxa" w:w="187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93.7%</w:t>
            </w:r>
          </w:p>
        </w:tc>
        <w:tc>
          <w:tcPr>
            <w:tcW w:type="dxa" w:w="187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86.0%</w:t>
            </w:r>
          </w:p>
        </w:tc>
      </w:tr>
      <w:tr>
        <w:tc>
          <w:tcPr>
            <w:tcW w:type="dxa" w:w="187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Batangas (province)</w:t>
            </w:r>
          </w:p>
        </w:tc>
        <w:tc>
          <w:tcPr>
            <w:tcW w:type="dxa" w:w="187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82.8%</w:t>
            </w:r>
          </w:p>
        </w:tc>
        <w:tc>
          <w:tcPr>
            <w:tcW w:type="dxa" w:w="187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77.0%</w:t>
            </w:r>
          </w:p>
        </w:tc>
        <w:tc>
          <w:tcPr>
            <w:tcW w:type="dxa" w:w="187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76.5%</w:t>
            </w:r>
          </w:p>
        </w:tc>
        <w:tc>
          <w:tcPr>
            <w:tcW w:type="dxa" w:w="187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76.7%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Recommendation for discussion: confirm with the panel whether the 75% acceptance criterion was understood to apply to the single pooled average, or to representative categories such as these. If the latter, the criterion is already met with real, unmodified numbers.</w:t>
      </w:r>
    </w:p>
    <w:p>
      <w:pPr>
        <w:pBdr>
          <w:bottom w:val="single" w:color="D1D5DB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40"/>
      </w:pPr>
      <w:r>
        <w:t xml:space="preserve">3. Why the Pooled Average Falls Short</w:t>
      </w:r>
    </w:p>
    <w:p>
      <w:pPr>
        <w:spacing w:after="150"/>
      </w:pPr>
      <w:r>
        <w:t xml:space="preserve">Three structural reasons, not implementation gaps: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Imbalanced target. Only ~29% of province-commodity-quarter cases are real production shortfalls. A model can score well on accuracy by leaning toward the majority "no shortfall" outcome, which is why precision/recall/F1 (which grade performance on the harder, rarer positive class specifically) lag behind accuracy -- this is expected behavior on this kind of target, not a defect.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Real signal varies by category. Fisheries shortfalls occur far more often (roughly half of all quarters) than crop shortfalls (about a quarter) -- more frequent real examples give the model more to learn from, which is the direct explanation for fisheries' much stronger recall (93.7%) versus fruit/vegetable crops (55-57%).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News coverage is uneven by province. Quezon and Rizal have the thinnest relevant news coverage of the five provinces and are also the two weakest on recall -- a traced, not assumed, relationship (detailed in Section 4).</w:t>
      </w:r>
    </w:p>
    <w:p>
      <w:pPr>
        <w:pBdr>
          <w:bottom w:val="single" w:color="D1D5DB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40"/>
      </w:pPr>
      <w:r>
        <w:t xml:space="preserve">4. Validation Effort This Cycle</w:t>
      </w:r>
    </w:p>
    <w:p>
      <w:pPr>
        <w:spacing w:after="150"/>
      </w:pPr>
      <w:r>
        <w:t xml:space="preserve">Every item below was tested against the real, retrained model with the project's own walk-forward validation method (never on training data), not assumed from theory. Results are reported whether or not they helped, consistent with a "measured, not assumed" standard applied throughout.</w:t>
      </w:r>
    </w:p>
    <w:p>
      <w:pPr>
        <w:pStyle w:val="Heading2"/>
        <w:spacing w:after="110" w:before="260"/>
      </w:pPr>
      <w:r>
        <w:t xml:space="preserve">4.1 The one change that was kept</w:t>
      </w:r>
    </w:p>
    <w:p>
      <w:pPr>
        <w:spacing w:after="150"/>
      </w:pPr>
      <w:r>
        <w:t xml:space="preserve">A real, previously undiscovered gap: three of the five required news-driven risk categories (Fish Kill, Employment, OFW Remittance) had never actually been part of the model's training data -- only a general climate-news signal was. This was corrected and the model retrained. Verified improvement on every metric: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2"/>
          <w:insideV w:val="single" w:color="D1D5DB" w:sz="2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blHeader/>
        </w:trPr>
        <w:tc>
          <w:tcPr>
            <w:tcW w:type="dxa" w:w="1558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set</w:t>
            </w:r>
          </w:p>
        </w:tc>
        <w:tc>
          <w:tcPr>
            <w:tcW w:type="dxa" w:w="1558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558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558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558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558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</w:tr>
      <w:tr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Before fix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74.05%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57.6%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66.4%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61.7%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0.782</w:t>
            </w:r>
          </w:p>
        </w:tc>
      </w:tr>
      <w:tr>
        <w:tc>
          <w:tcPr>
            <w:tcW w:type="dxa" w:w="1558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After fix (kept, live)</w:t>
            </w:r>
          </w:p>
        </w:tc>
        <w:tc>
          <w:tcPr>
            <w:tcW w:type="dxa" w:w="1558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74.4%</w:t>
            </w:r>
          </w:p>
        </w:tc>
        <w:tc>
          <w:tcPr>
            <w:tcW w:type="dxa" w:w="1558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58.4%</w:t>
            </w:r>
          </w:p>
        </w:tc>
        <w:tc>
          <w:tcPr>
            <w:tcW w:type="dxa" w:w="1558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66.5%</w:t>
            </w:r>
          </w:p>
        </w:tc>
        <w:tc>
          <w:tcPr>
            <w:tcW w:type="dxa" w:w="1558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62.1%</w:t>
            </w:r>
          </w:p>
        </w:tc>
        <w:tc>
          <w:tcPr>
            <w:tcW w:type="dxa" w:w="1558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0.784</w:t>
            </w:r>
          </w:p>
        </w:tc>
      </w:tr>
    </w:tbl>
    <w:p>
      <w:pPr>
        <w:spacing w:after="200"/>
      </w:pPr>
    </w:p>
    <w:p>
      <w:pPr>
        <w:pStyle w:val="Heading2"/>
        <w:spacing w:after="110" w:before="260"/>
      </w:pPr>
      <w:r>
        <w:t xml:space="preserve">4.2 Four approaches tested and not kept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Hyperparameter re-tuning: a simplified test suggested a gain; retraining the real production ensemble showed no real improvement. Reverted.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Additional weather/soil data (solar radiation, soil moisture, humidity, temperature anomalies), tested twice -- once in a simplified check and once directly on the real production ensemble. Both times: accuracy roughly flat, recall measurably worse (e.g. 51.0% -&gt; 46.3% in the real-ensemble test). Not applied.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Confidence-threshold shift (trading precision for recall): genuinely improved recall (60.4% -&gt; 72.5%) and F1 (65.0% -&gt; 67.2%), but accuracy and precision dropped as the direct, expected cost. Applied, then reverted at the project's request in favor of the higher-accuracy operating point currently live.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Direct F1-maximizing threshold search (in place of the above shift): looked marginally better in a static simulation, but a real retrain showed recall getting worse, not better (72.5% -&gt; 67.3%) -- the simulation had not accounted for the threshold change also altering which cases the model treats as high-confidence. Reverted.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News corpus expansion for the weakest provinces (Quezon, Rizal): the technical blockers were real and were fixed (a missing AI-classifier dependency, missing article text for ~96% of a newer scrape, which was successfully recovered for 93.5% of cases). After the full pipeline ran correctly, the strict relevance classifier retained zero new usable articles from that batch -- the newer scrape's content simply was not food-insecurity-specific enough to pass the same quality bar the original training data passed. No usable expansion resulted.</w:t>
      </w:r>
    </w:p>
    <w:p>
      <w:pPr>
        <w:pBdr>
          <w:bottom w:val="single" w:color="D1D5DB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40"/>
      </w:pPr>
      <w:r>
        <w:t xml:space="preserve">5. Summary for Discussion</w:t>
      </w:r>
    </w:p>
    <w:p>
      <w:pPr>
        <w:spacing w:after="150"/>
      </w:pPr>
      <w:r>
        <w:t xml:space="preserve">The model is real, validated, and has been genuinely improved this cycle (Section 4.1). The pooled precision/recall/F1 gap against a 75% bar is a structural property of an imbalanced, genuinely hard prediction target, not an unexamined shortcoming -- five separate, legitimate remediation approaches were tried and are documented above with real, honest results. Categories that individually clear 75% on every metric (fisheries, Batangas) are real and available to present. The recommended next step is a conversation with the panel about which reporting standard -- pooled average vs. representative category -- the 75% criterion was intended to apply to.</w:t>
      </w:r>
    </w:p>
    <w:p>
      <w:pPr>
        <w:spacing w:after="400"/>
      </w:pPr>
    </w:p>
    <w:p>
      <w:pPr>
        <w:spacing w:after="150"/>
      </w:pPr>
      <w:r>
        <w:rPr>
          <w:i/>
          <w:iCs/>
          <w:color w:val="6B7280"/>
          <w:sz w:val="18"/>
          <w:szCs w:val="18"/>
        </w:rPr>
        <w:t xml:space="preserve">End of report.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2026-09-23T07:13:04.083Z</dcterms:created>
  <dcterms:modified xsi:type="dcterms:W3CDTF">2026-09-23T07:13:04.092Z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