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b/>
          <w:bCs/>
          <w:color w:val="1F3864"/>
          <w:sz w:val="56"/>
          <w:szCs w:val="56"/>
        </w:rPr>
        <w:t xml:space="preserve">aiPHeed</w:t>
      </w:r>
    </w:p>
    <w:p>
      <w:pPr>
        <w:spacing w:after="300"/>
        <w:jc w:val="center"/>
      </w:pPr>
      <w:r>
        <w:rPr>
          <w:color w:val="333333"/>
          <w:sz w:val="26"/>
          <w:szCs w:val="26"/>
        </w:rPr>
        <w:t xml:space="preserve">Geospatial Food Insecurity Forecasting System for DOST Region IV-A</w:t>
      </w:r>
    </w:p>
    <w:p>
      <w:pPr>
        <w:spacing w:after="40"/>
        <w:jc w:val="center"/>
      </w:pPr>
      <w:r>
        <w:rPr>
          <w:b/>
          <w:bCs/>
          <w:color w:val="0F7B6C"/>
          <w:sz w:val="30"/>
          <w:szCs w:val="30"/>
        </w:rPr>
        <w:t xml:space="preserve">Validation Meeting — Preparation Kit  (v3)</w:t>
      </w:r>
    </w:p>
    <w:p>
      <w:pPr>
        <w:spacing w:after="500"/>
        <w:jc w:val="center"/>
      </w:pPr>
      <w:r>
        <w:rPr>
          <w:i/>
          <w:iCs/>
          <w:color w:val="666666"/>
          <w:sz w:val="20"/>
          <w:szCs w:val="20"/>
        </w:rPr>
        <w:t xml:space="preserve">Meeting Flow · Technical Background · Demo · Use Case Diagram · Questionnaire · Data &amp; Annotation · Full Script</w:t>
      </w:r>
    </w:p>
    <w:p>
      <w:pPr>
        <w:spacing w:after="60"/>
        <w:jc w:val="center"/>
      </w:pPr>
      <w:r>
        <w:rPr>
          <w:color w:val="333333"/>
          <w:sz w:val="20"/>
          <w:szCs w:val="20"/>
        </w:rPr>
        <w:t xml:space="preserve">Meeting with</w:t>
      </w:r>
    </w:p>
    <w:p>
      <w:pPr>
        <w:spacing w:after="60"/>
        <w:jc w:val="center"/>
      </w:pPr>
      <w:r>
        <w:rPr>
          <w:b/>
          <w:bCs/>
          <w:color w:val="1F3864"/>
          <w:sz w:val="24"/>
          <w:szCs w:val="24"/>
        </w:rPr>
        <w:t xml:space="preserve">Engr. Francisco R. Barquilla III</w:t>
      </w:r>
    </w:p>
    <w:p>
      <w:pPr>
        <w:spacing w:after="300"/>
        <w:jc w:val="center"/>
      </w:pPr>
      <w:r>
        <w:rPr>
          <w:color w:val="333333"/>
          <w:sz w:val="20"/>
          <w:szCs w:val="20"/>
        </w:rPr>
        <w:t xml:space="preserve">Assistant Regional Director, Technical Operations — DOST Region IV-A</w:t>
      </w:r>
    </w:p>
    <w:p>
      <w:pPr>
        <w:spacing w:after="60"/>
        <w:jc w:val="center"/>
      </w:pPr>
      <w:r>
        <w:rPr>
          <w:color w:val="333333"/>
          <w:sz w:val="20"/>
          <w:szCs w:val="20"/>
        </w:rPr>
        <w:t xml:space="preserve">Presented by (Group of 3)</w:t>
      </w:r>
    </w:p>
    <w:p>
      <w:pPr>
        <w:spacing w:after="20"/>
        <w:jc w:val="center"/>
      </w:pPr>
      <w:r>
        <w:rPr>
          <w:b/>
          <w:bCs/>
          <w:color w:val="222222"/>
          <w:sz w:val="22"/>
          <w:szCs w:val="22"/>
        </w:rPr>
        <w:t xml:space="preserve">Princess Gwenn A. Destura  •  Christina M. Esico  •  Angel Vhea P. Melindo</w:t>
      </w:r>
    </w:p>
    <w:p>
      <w:pPr>
        <w:spacing w:after="400"/>
        <w:jc w:val="center"/>
      </w:pPr>
      <w:r>
        <w:rPr>
          <w:color w:val="666666"/>
          <w:sz w:val="18"/>
          <w:szCs w:val="18"/>
        </w:rPr>
        <w:t xml:space="preserve">BS Computer Science (Intelligence Systems Track) — De La Salle University–Dasmariñas</w:t>
      </w:r>
      <w:r>
        <w:rPr>
          <w:color w:val="666666"/>
          <w:sz w:val="18"/>
          <w:szCs w:val="18"/>
        </w:rPr>
        <w:t xml:space="preserve">   |   Adviser: Dr. Rolando B. Barrameda</w:t>
      </w:r>
    </w:p>
    <w:p>
      <w:pPr>
        <w:spacing w:after="0"/>
        <w:jc w:val="center"/>
      </w:pPr>
      <w:r>
        <w:rPr>
          <w:i/>
          <w:iCs/>
          <w:color w:val="666666"/>
          <w:sz w:val="18"/>
          <w:szCs w:val="18"/>
        </w:rPr>
        <w:t xml:space="preserve">Format: Virtual meeting (video call, screen share)  •  Duration: 30 minutes</w:t>
      </w:r>
    </w:p>
    <w:p>
      <w:r>
        <w:br w:type="page"/>
      </w:r>
    </w:p>
    <w:p>
      <w:pPr>
        <w:pStyle w:val="Heading1"/>
        <w:pBdr>
          <w:bottom w:val="single" w:color="1F3864" w:sz="6" w:space="4"/>
        </w:pBdr>
        <w:spacing w:after="160" w:before="360"/>
      </w:pPr>
      <w:r>
        <w:rPr>
          <w:b/>
          <w:bCs/>
          <w:color w:val="1F3864"/>
          <w:sz w:val="28"/>
          <w:szCs w:val="28"/>
        </w:rPr>
        <w:t xml:space="preserve">1. Meeting Snapshot</w:t>
      </w:r>
    </w:p>
    <w:p>
      <w:pPr>
        <w:spacing w:after="140" w:line="300"/>
      </w:pPr>
      <w:r>
        <w:rPr>
          <w:sz w:val="21"/>
          <w:szCs w:val="21"/>
        </w:rPr>
        <w:t xml:space="preserve">This is the updated (v3) kit. It reorganizes the meeting around six priorities for today, in the order the team plans to cover them: an intro, a short technical background, the live demo, DOST's role (use case diagram) with the draft post-testing questionnaire, data for validation/annotation, and finally more questions — both DOST's questions for the team and the team's pre-interview questions for DOST.</w:t>
      </w:r>
    </w:p>
    <w:p>
      <w:pPr>
        <w:spacing w:after="80" w:before="200"/>
      </w:pPr>
      <w:r>
        <w:rPr>
          <w:b/>
          <w:bCs/>
          <w:color w:val="222222"/>
          <w:sz w:val="22"/>
          <w:szCs w:val="22"/>
        </w:rPr>
        <w:t xml:space="preserve">Today's six priorities</w:t>
      </w:r>
    </w:p>
    <w:p>
      <w:pPr>
        <w:pStyle w:val="ListParagraph"/>
        <w:numPr>
          <w:ilvl w:val="0"/>
          <w:numId w:val="2"/>
        </w:numPr>
        <w:spacing w:after="90" w:line="290"/>
      </w:pPr>
      <w:r>
        <w:rPr>
          <w:sz w:val="21"/>
          <w:szCs w:val="21"/>
        </w:rPr>
        <w:t xml:space="preserve">Intro — greet the ARD, frame the meeting, brief problem context.</w:t>
      </w:r>
    </w:p>
    <w:p>
      <w:pPr>
        <w:pStyle w:val="ListParagraph"/>
        <w:numPr>
          <w:ilvl w:val="0"/>
          <w:numId w:val="2"/>
        </w:numPr>
        <w:spacing w:after="90" w:line="290"/>
      </w:pPr>
      <w:r>
        <w:rPr>
          <w:sz w:val="21"/>
          <w:szCs w:val="21"/>
        </w:rPr>
        <w:t xml:space="preserve">Short technical background — a quick, non-technical walkthrough of how aiPHeed turns news and government data into a forecast, so the demo that follows makes sense.</w:t>
      </w:r>
    </w:p>
    <w:p>
      <w:pPr>
        <w:pStyle w:val="ListParagraph"/>
        <w:numPr>
          <w:ilvl w:val="0"/>
          <w:numId w:val="2"/>
        </w:numPr>
        <w:spacing w:after="90" w:line="290"/>
      </w:pPr>
      <w:r>
        <w:rPr>
          <w:sz w:val="21"/>
          <w:szCs w:val="21"/>
        </w:rPr>
        <w:t xml:space="preserve">Demo — the live dashboard, walked through end to end.</w:t>
      </w:r>
    </w:p>
    <w:p>
      <w:pPr>
        <w:pStyle w:val="ListParagraph"/>
        <w:numPr>
          <w:ilvl w:val="0"/>
          <w:numId w:val="2"/>
        </w:numPr>
        <w:spacing w:after="90" w:line="290"/>
      </w:pPr>
      <w:r>
        <w:rPr>
          <w:sz w:val="21"/>
          <w:szCs w:val="21"/>
        </w:rPr>
        <w:t xml:space="preserve">DOST's role + the draft post-testing questionnaire — the use case diagram for a DOST Region IV-A Evaluator, and a walkthrough of the questionnaire draft.</w:t>
      </w:r>
    </w:p>
    <w:p>
      <w:pPr>
        <w:pStyle w:val="ListParagraph"/>
        <w:numPr>
          <w:ilvl w:val="0"/>
          <w:numId w:val="2"/>
        </w:numPr>
        <w:spacing w:after="90" w:line="290"/>
      </w:pPr>
      <w:r>
        <w:rPr>
          <w:sz w:val="21"/>
          <w:szCs w:val="21"/>
        </w:rPr>
        <w:t xml:space="preserve">Data — for possible validation/annotation — data sources and a concrete example of the labeling task we'd ask an expert validator to do.</w:t>
      </w:r>
    </w:p>
    <w:p>
      <w:pPr>
        <w:pStyle w:val="ListParagraph"/>
        <w:numPr>
          <w:ilvl w:val="0"/>
          <w:numId w:val="2"/>
        </w:numPr>
        <w:spacing w:after="90" w:line="290"/>
      </w:pPr>
      <w:r>
        <w:rPr>
          <w:sz w:val="21"/>
          <w:szCs w:val="21"/>
        </w:rPr>
        <w:t xml:space="preserve">More questions — this meeting doubles as the pre-questionnaire (no separate Google Form went out beforehand), so we ask DOST what it wants; then the floor opens for DOST's own questions before closing.</w:t>
      </w:r>
    </w:p>
    <w:p>
      <w:pPr>
        <w:spacing w:after="80" w:before="200"/>
      </w:pPr>
      <w:r>
        <w:rPr>
          <w:b/>
          <w:bCs/>
          <w:color w:val="222222"/>
          <w:sz w:val="22"/>
          <w:szCs w:val="22"/>
        </w:rPr>
        <w:t xml:space="preserve">Everything below is ordered to match this flow</w:t>
      </w:r>
    </w:p>
    <w:p>
      <w:pPr>
        <w:spacing w:after="140" w:line="300"/>
      </w:pPr>
      <w:r>
        <w:rPr>
          <w:sz w:val="21"/>
          <w:szCs w:val="21"/>
        </w:rPr>
        <w:t xml:space="preserve">Section 4 (Short Technical Background), Section 5 (Live Demo Outline), Section 6 (Use Case Diagram), Section 7 (Questionnaire Overview), Section 8 (Data &amp; Annotation), and Section 9 (More Questions) each correspond to one script segment in Section 10 — the segment numbers (02–06) are cross-referenced throughout so slides, script, and this kit stay in lockstep.</w:t>
      </w:r>
    </w:p>
    <w:p>
      <w:pPr>
        <w:shd w:fill="F5F0E6" w:val="clear"/>
        <w:spacing w:after="160" w:before="40"/>
      </w:pPr>
      <w:r>
        <w:rPr>
          <w:b/>
          <w:bCs/>
          <w:i/>
          <w:iCs/>
          <w:color w:val="B7862C"/>
          <w:sz w:val="19"/>
          <w:szCs w:val="19"/>
        </w:rPr>
        <w:t xml:space="preserve">IMPORTANT — the numbers shown in today's live demo are MOCK / PLACEHOLDER DATA. The trained NLP + LightGBM model has not yet been integrated into the live dashboard, so the map, rankings, and alerts are illustrating the UI and workflow only, not real forecasts. This must be said explicitly at the start of Segment 03 (see script 10.3) so DOST doesn't mistake placeholder numbers for validated output. The training data itself (news corpus, government indicators) is real and already collected — see Segment 05.</w:t>
      </w:r>
    </w:p>
    <w:p>
      <w:pPr>
        <w:pStyle w:val="Heading1"/>
        <w:pBdr>
          <w:bottom w:val="single" w:color="1F3864" w:sz="6" w:space="4"/>
        </w:pBdr>
        <w:spacing w:after="160" w:before="360"/>
      </w:pPr>
      <w:r>
        <w:rPr>
          <w:b/>
          <w:bCs/>
          <w:color w:val="1F3864"/>
          <w:sz w:val="28"/>
          <w:szCs w:val="28"/>
        </w:rPr>
        <w:t xml:space="preserve">2. Meeting Flow (Agenda)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700"/>
        <w:gridCol w:w="2400"/>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Time</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Segment</w:t>
            </w:r>
          </w:p>
        </w:tc>
        <w:tc>
          <w:tcPr>
            <w:tcW w:type="dxa" w:w="270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Lead</w:t>
            </w:r>
          </w:p>
        </w:tc>
      </w:tr>
      <w:tr>
        <w:tc>
          <w:tcPr>
            <w:tcW w:type="dxa" w:w="1300"/>
            <w:shd w:fill="FFFFFF" w:val="clear"/>
            <w:tcMar>
              <w:top w:type="dxa" w:w="80"/>
              <w:left w:type="dxa" w:w="100"/>
              <w:bottom w:type="dxa" w:w="80"/>
              <w:right w:type="dxa" w:w="100"/>
            </w:tcMar>
            <w:vAlign w:val="center"/>
          </w:tcPr>
          <w:p>
            <w:pPr>
              <w:jc w:val="center"/>
            </w:pPr>
            <w:r>
              <w:rPr>
                <w:b w:val="false"/>
                <w:bCs w:val="false"/>
                <w:color w:val="222222"/>
                <w:sz w:val="20"/>
                <w:szCs w:val="20"/>
              </w:rPr>
              <w:t xml:space="preserve">0:00 – 0:02
(2 min)</w:t>
            </w:r>
          </w:p>
        </w:tc>
        <w:tc>
          <w:tcPr>
            <w:tcW w:type="dxa" w:w="2900"/>
            <w:shd w:fill="FFFFFF" w:val="clear"/>
            <w:tcMar>
              <w:top w:type="dxa" w:w="80"/>
              <w:left w:type="dxa" w:w="100"/>
              <w:bottom w:type="dxa" w:w="80"/>
              <w:right w:type="dxa" w:w="100"/>
            </w:tcMar>
            <w:vAlign w:val="center"/>
          </w:tcPr>
          <w:p>
            <w:pPr>
              <w:jc w:val="left"/>
            </w:pPr>
            <w:r>
              <w:rPr>
                <w:b/>
                <w:bCs/>
                <w:color w:val="222222"/>
                <w:sz w:val="20"/>
                <w:szCs w:val="20"/>
              </w:rPr>
              <w:t xml:space="preserve">01 · Intro</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Greet ARD Barquilla, introduce the team, frame today's 6 priorities (problem stats by Esico)</w:t>
            </w:r>
          </w:p>
        </w:tc>
        <w:tc>
          <w:tcPr>
            <w:tcW w:type="dxa" w:w="2400"/>
            <w:shd w:fill="FFFFFF" w:val="clear"/>
            <w:tcMar>
              <w:top w:type="dxa" w:w="80"/>
              <w:left w:type="dxa" w:w="100"/>
              <w:bottom w:type="dxa" w:w="80"/>
              <w:right w:type="dxa" w:w="100"/>
            </w:tcMar>
            <w:vAlign w:val="center"/>
          </w:tcPr>
          <w:p>
            <w:pPr>
              <w:jc w:val="center"/>
            </w:pPr>
            <w:r>
              <w:rPr>
                <w:b/>
                <w:bCs/>
                <w:color w:val="0F7B6C"/>
                <w:sz w:val="20"/>
                <w:szCs w:val="20"/>
              </w:rPr>
              <w:t xml:space="preserve">Destura / Esico</w:t>
            </w:r>
          </w:p>
        </w:tc>
      </w:tr>
      <w:tr>
        <w:tc>
          <w:tcPr>
            <w:tcW w:type="dxa" w:w="1300"/>
            <w:shd w:fill="EDF2F7" w:val="clear"/>
            <w:tcMar>
              <w:top w:type="dxa" w:w="80"/>
              <w:left w:type="dxa" w:w="100"/>
              <w:bottom w:type="dxa" w:w="80"/>
              <w:right w:type="dxa" w:w="100"/>
            </w:tcMar>
            <w:vAlign w:val="center"/>
          </w:tcPr>
          <w:p>
            <w:pPr>
              <w:jc w:val="center"/>
            </w:pPr>
            <w:r>
              <w:rPr>
                <w:b w:val="false"/>
                <w:bCs w:val="false"/>
                <w:color w:val="222222"/>
                <w:sz w:val="20"/>
                <w:szCs w:val="20"/>
              </w:rPr>
              <w:t xml:space="preserve">0:02 – 0:05
(3 min)</w:t>
            </w:r>
          </w:p>
        </w:tc>
        <w:tc>
          <w:tcPr>
            <w:tcW w:type="dxa" w:w="2900"/>
            <w:shd w:fill="EDF2F7" w:val="clear"/>
            <w:tcMar>
              <w:top w:type="dxa" w:w="80"/>
              <w:left w:type="dxa" w:w="100"/>
              <w:bottom w:type="dxa" w:w="80"/>
              <w:right w:type="dxa" w:w="100"/>
            </w:tcMar>
            <w:vAlign w:val="center"/>
          </w:tcPr>
          <w:p>
            <w:pPr>
              <w:jc w:val="left"/>
            </w:pPr>
            <w:r>
              <w:rPr>
                <w:b/>
                <w:bCs/>
                <w:color w:val="222222"/>
                <w:sz w:val="20"/>
                <w:szCs w:val="20"/>
              </w:rPr>
              <w:t xml:space="preserve">02 · Short Technical Background</w:t>
            </w:r>
          </w:p>
        </w:tc>
        <w:tc>
          <w:tcPr>
            <w:tcW w:type="dxa" w:w="2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Quick, non-technical walkthrough of how raw news + government data becomes a quarterly forecast</w:t>
            </w:r>
          </w:p>
        </w:tc>
        <w:tc>
          <w:tcPr>
            <w:tcW w:type="dxa" w:w="2400"/>
            <w:shd w:fill="EDF2F7" w:val="clear"/>
            <w:tcMar>
              <w:top w:type="dxa" w:w="80"/>
              <w:left w:type="dxa" w:w="100"/>
              <w:bottom w:type="dxa" w:w="80"/>
              <w:right w:type="dxa" w:w="100"/>
            </w:tcMar>
            <w:vAlign w:val="center"/>
          </w:tcPr>
          <w:p>
            <w:pPr>
              <w:jc w:val="center"/>
            </w:pPr>
            <w:r>
              <w:rPr>
                <w:b/>
                <w:bCs/>
                <w:color w:val="0F7B6C"/>
                <w:sz w:val="20"/>
                <w:szCs w:val="20"/>
              </w:rPr>
              <w:t xml:space="preserve">Melindo</w:t>
            </w:r>
          </w:p>
        </w:tc>
      </w:tr>
      <w:tr>
        <w:tc>
          <w:tcPr>
            <w:tcW w:type="dxa" w:w="1300"/>
            <w:shd w:fill="FFFFFF" w:val="clear"/>
            <w:tcMar>
              <w:top w:type="dxa" w:w="80"/>
              <w:left w:type="dxa" w:w="100"/>
              <w:bottom w:type="dxa" w:w="80"/>
              <w:right w:type="dxa" w:w="100"/>
            </w:tcMar>
            <w:vAlign w:val="center"/>
          </w:tcPr>
          <w:p>
            <w:pPr>
              <w:jc w:val="center"/>
            </w:pPr>
            <w:r>
              <w:rPr>
                <w:b w:val="false"/>
                <w:bCs w:val="false"/>
                <w:color w:val="222222"/>
                <w:sz w:val="20"/>
                <w:szCs w:val="20"/>
              </w:rPr>
              <w:t xml:space="preserve">0:05 – 0:14
(9 min)</w:t>
            </w:r>
          </w:p>
        </w:tc>
        <w:tc>
          <w:tcPr>
            <w:tcW w:type="dxa" w:w="2900"/>
            <w:shd w:fill="FFFFFF" w:val="clear"/>
            <w:tcMar>
              <w:top w:type="dxa" w:w="80"/>
              <w:left w:type="dxa" w:w="100"/>
              <w:bottom w:type="dxa" w:w="80"/>
              <w:right w:type="dxa" w:w="100"/>
            </w:tcMar>
            <w:vAlign w:val="center"/>
          </w:tcPr>
          <w:p>
            <w:pPr>
              <w:jc w:val="left"/>
            </w:pPr>
            <w:r>
              <w:rPr>
                <w:b/>
                <w:bCs/>
                <w:color w:val="222222"/>
                <w:sz w:val="20"/>
                <w:szCs w:val="20"/>
              </w:rPr>
              <w:t xml:space="preserve">03 · Live System Demo (screen share)</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Narrate the dashboard end to end; Melindo operates the screen</w:t>
            </w:r>
          </w:p>
        </w:tc>
        <w:tc>
          <w:tcPr>
            <w:tcW w:type="dxa" w:w="2400"/>
            <w:shd w:fill="FFFFFF" w:val="clear"/>
            <w:tcMar>
              <w:top w:type="dxa" w:w="80"/>
              <w:left w:type="dxa" w:w="100"/>
              <w:bottom w:type="dxa" w:w="80"/>
              <w:right w:type="dxa" w:w="100"/>
            </w:tcMar>
            <w:vAlign w:val="center"/>
          </w:tcPr>
          <w:p>
            <w:pPr>
              <w:jc w:val="center"/>
            </w:pPr>
            <w:r>
              <w:rPr>
                <w:b/>
                <w:bCs/>
                <w:color w:val="0F7B6C"/>
                <w:sz w:val="20"/>
                <w:szCs w:val="20"/>
              </w:rPr>
              <w:t xml:space="preserve">Destura</w:t>
            </w:r>
          </w:p>
        </w:tc>
      </w:tr>
      <w:tr>
        <w:tc>
          <w:tcPr>
            <w:tcW w:type="dxa" w:w="1300"/>
            <w:shd w:fill="EDF2F7" w:val="clear"/>
            <w:tcMar>
              <w:top w:type="dxa" w:w="80"/>
              <w:left w:type="dxa" w:w="100"/>
              <w:bottom w:type="dxa" w:w="80"/>
              <w:right w:type="dxa" w:w="100"/>
            </w:tcMar>
            <w:vAlign w:val="center"/>
          </w:tcPr>
          <w:p>
            <w:pPr>
              <w:jc w:val="center"/>
            </w:pPr>
            <w:r>
              <w:rPr>
                <w:b w:val="false"/>
                <w:bCs w:val="false"/>
                <w:color w:val="222222"/>
                <w:sz w:val="20"/>
                <w:szCs w:val="20"/>
              </w:rPr>
              <w:t xml:space="preserve">0:14 – 0:21
(7 min)</w:t>
            </w:r>
          </w:p>
        </w:tc>
        <w:tc>
          <w:tcPr>
            <w:tcW w:type="dxa" w:w="2900"/>
            <w:shd w:fill="EDF2F7" w:val="clear"/>
            <w:tcMar>
              <w:top w:type="dxa" w:w="80"/>
              <w:left w:type="dxa" w:w="100"/>
              <w:bottom w:type="dxa" w:w="80"/>
              <w:right w:type="dxa" w:w="100"/>
            </w:tcMar>
            <w:vAlign w:val="center"/>
          </w:tcPr>
          <w:p>
            <w:pPr>
              <w:jc w:val="left"/>
            </w:pPr>
            <w:r>
              <w:rPr>
                <w:b/>
                <w:bCs/>
                <w:color w:val="222222"/>
                <w:sz w:val="20"/>
                <w:szCs w:val="20"/>
              </w:rPr>
              <w:t xml:space="preserve">04 · DOST's Role &amp; the Post-Testing Questionnaire</w:t>
            </w:r>
          </w:p>
        </w:tc>
        <w:tc>
          <w:tcPr>
            <w:tcW w:type="dxa" w:w="2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Walk through the use case diagram (DOST Evaluator role) and the draft questionnaire; ask for the validation partnership</w:t>
            </w:r>
          </w:p>
        </w:tc>
        <w:tc>
          <w:tcPr>
            <w:tcW w:type="dxa" w:w="2400"/>
            <w:shd w:fill="EDF2F7" w:val="clear"/>
            <w:tcMar>
              <w:top w:type="dxa" w:w="80"/>
              <w:left w:type="dxa" w:w="100"/>
              <w:bottom w:type="dxa" w:w="80"/>
              <w:right w:type="dxa" w:w="100"/>
            </w:tcMar>
            <w:vAlign w:val="center"/>
          </w:tcPr>
          <w:p>
            <w:pPr>
              <w:jc w:val="center"/>
            </w:pPr>
            <w:r>
              <w:rPr>
                <w:b/>
                <w:bCs/>
                <w:color w:val="0F7B6C"/>
                <w:sz w:val="20"/>
                <w:szCs w:val="20"/>
              </w:rPr>
              <w:t xml:space="preserve">Esico</w:t>
            </w:r>
          </w:p>
        </w:tc>
      </w:tr>
      <w:tr>
        <w:tc>
          <w:tcPr>
            <w:tcW w:type="dxa" w:w="1300"/>
            <w:shd w:fill="FFFFFF" w:val="clear"/>
            <w:tcMar>
              <w:top w:type="dxa" w:w="80"/>
              <w:left w:type="dxa" w:w="100"/>
              <w:bottom w:type="dxa" w:w="80"/>
              <w:right w:type="dxa" w:w="100"/>
            </w:tcMar>
            <w:vAlign w:val="center"/>
          </w:tcPr>
          <w:p>
            <w:pPr>
              <w:jc w:val="center"/>
            </w:pPr>
            <w:r>
              <w:rPr>
                <w:b w:val="false"/>
                <w:bCs w:val="false"/>
                <w:color w:val="222222"/>
                <w:sz w:val="20"/>
                <w:szCs w:val="20"/>
              </w:rPr>
              <w:t xml:space="preserve">0:21 – 0:25
(4 min)</w:t>
            </w:r>
          </w:p>
        </w:tc>
        <w:tc>
          <w:tcPr>
            <w:tcW w:type="dxa" w:w="2900"/>
            <w:shd w:fill="FFFFFF" w:val="clear"/>
            <w:tcMar>
              <w:top w:type="dxa" w:w="80"/>
              <w:left w:type="dxa" w:w="100"/>
              <w:bottom w:type="dxa" w:w="80"/>
              <w:right w:type="dxa" w:w="100"/>
            </w:tcMar>
            <w:vAlign w:val="center"/>
          </w:tcPr>
          <w:p>
            <w:pPr>
              <w:jc w:val="left"/>
            </w:pPr>
            <w:r>
              <w:rPr>
                <w:b/>
                <w:bCs/>
                <w:color w:val="222222"/>
                <w:sz w:val="20"/>
                <w:szCs w:val="20"/>
              </w:rPr>
              <w:t xml:space="preserve">05 · Data Walkthrough — Validation &amp; Annotation</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Show data sources + a concrete labeling example; ask for an expert validator</w:t>
            </w:r>
          </w:p>
        </w:tc>
        <w:tc>
          <w:tcPr>
            <w:tcW w:type="dxa" w:w="2400"/>
            <w:shd w:fill="FFFFFF" w:val="clear"/>
            <w:tcMar>
              <w:top w:type="dxa" w:w="80"/>
              <w:left w:type="dxa" w:w="100"/>
              <w:bottom w:type="dxa" w:w="80"/>
              <w:right w:type="dxa" w:w="100"/>
            </w:tcMar>
            <w:vAlign w:val="center"/>
          </w:tcPr>
          <w:p>
            <w:pPr>
              <w:jc w:val="center"/>
            </w:pPr>
            <w:r>
              <w:rPr>
                <w:b/>
                <w:bCs/>
                <w:color w:val="0F7B6C"/>
                <w:sz w:val="20"/>
                <w:szCs w:val="20"/>
              </w:rPr>
              <w:t xml:space="preserve">Melindo</w:t>
            </w:r>
          </w:p>
        </w:tc>
      </w:tr>
      <w:tr>
        <w:tc>
          <w:tcPr>
            <w:tcW w:type="dxa" w:w="1300"/>
            <w:shd w:fill="EDF2F7" w:val="clear"/>
            <w:tcMar>
              <w:top w:type="dxa" w:w="80"/>
              <w:left w:type="dxa" w:w="100"/>
              <w:bottom w:type="dxa" w:w="80"/>
              <w:right w:type="dxa" w:w="100"/>
            </w:tcMar>
            <w:vAlign w:val="center"/>
          </w:tcPr>
          <w:p>
            <w:pPr>
              <w:jc w:val="center"/>
            </w:pPr>
            <w:r>
              <w:rPr>
                <w:b w:val="false"/>
                <w:bCs w:val="false"/>
                <w:color w:val="222222"/>
                <w:sz w:val="20"/>
                <w:szCs w:val="20"/>
              </w:rPr>
              <w:t xml:space="preserve">0:25 – 0:30
(5 min)</w:t>
            </w:r>
          </w:p>
        </w:tc>
        <w:tc>
          <w:tcPr>
            <w:tcW w:type="dxa" w:w="2900"/>
            <w:shd w:fill="EDF2F7" w:val="clear"/>
            <w:tcMar>
              <w:top w:type="dxa" w:w="80"/>
              <w:left w:type="dxa" w:w="100"/>
              <w:bottom w:type="dxa" w:w="80"/>
              <w:right w:type="dxa" w:w="100"/>
            </w:tcMar>
            <w:vAlign w:val="center"/>
          </w:tcPr>
          <w:p>
            <w:pPr>
              <w:jc w:val="left"/>
            </w:pPr>
            <w:r>
              <w:rPr>
                <w:b/>
                <w:bCs/>
                <w:color w:val="222222"/>
                <w:sz w:val="20"/>
                <w:szCs w:val="20"/>
              </w:rPr>
              <w:t xml:space="preserve">06 · More Questions</w:t>
            </w:r>
          </w:p>
        </w:tc>
        <w:tc>
          <w:tcPr>
            <w:tcW w:type="dxa" w:w="2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This meeting IS the pre-questionnaire — ask DOST what it wants, then open the floor for DOST's questions and close</w:t>
            </w:r>
          </w:p>
        </w:tc>
        <w:tc>
          <w:tcPr>
            <w:tcW w:type="dxa" w:w="2400"/>
            <w:shd w:fill="EDF2F7" w:val="clear"/>
            <w:tcMar>
              <w:top w:type="dxa" w:w="80"/>
              <w:left w:type="dxa" w:w="100"/>
              <w:bottom w:type="dxa" w:w="80"/>
              <w:right w:type="dxa" w:w="100"/>
            </w:tcMar>
            <w:vAlign w:val="center"/>
          </w:tcPr>
          <w:p>
            <w:pPr>
              <w:jc w:val="center"/>
            </w:pPr>
            <w:r>
              <w:rPr>
                <w:b/>
                <w:bCs/>
                <w:color w:val="0F7B6C"/>
                <w:sz w:val="20"/>
                <w:szCs w:val="20"/>
              </w:rPr>
              <w:t xml:space="preserve">Destura</w:t>
            </w:r>
          </w:p>
        </w:tc>
      </w:tr>
    </w:tbl>
    <w:p>
      <w:pPr>
        <w:spacing w:before="160"/>
      </w:pPr>
      <w:r>
        <w:rPr>
          <w:i/>
          <w:iCs/>
          <w:color w:val="666666"/>
          <w:sz w:val="18"/>
          <w:szCs w:val="18"/>
        </w:rPr>
        <w:t xml:space="preserve">Tip: assign one member as timekeeper (silently) so Segment 06 (More Questions) keeps its full 5 minutes — it's the segment DOST does most of the talking in, and where the call closes.</w:t>
      </w:r>
    </w:p>
    <w:p>
      <w:pPr>
        <w:pStyle w:val="Heading1"/>
        <w:pBdr>
          <w:bottom w:val="single" w:color="1F3864" w:sz="6" w:space="4"/>
        </w:pBdr>
        <w:spacing w:after="160" w:before="360"/>
      </w:pPr>
      <w:r>
        <w:rPr>
          <w:b/>
          <w:bCs/>
          <w:color w:val="1F3864"/>
          <w:sz w:val="28"/>
          <w:szCs w:val="28"/>
        </w:rPr>
        <w:t xml:space="preserve">3. The 3 Asks — Summary</w:t>
      </w:r>
    </w:p>
    <w:p>
      <w:pPr>
        <w:spacing w:after="140" w:line="300"/>
      </w:pPr>
      <w:r>
        <w:rPr>
          <w:sz w:val="21"/>
          <w:szCs w:val="21"/>
        </w:rPr>
        <w:t xml:space="preserve">Keep these visible throughout the call. Each is now anchored to the segment that carries it, so there's no ambiguity about when to raise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00"/>
      </w:tblGrid>
      <w:tr>
        <w:trPr>
          <w:tblHeader/>
        </w:trPr>
        <w:tc>
          <w:tcPr>
            <w:tcW w:type="dxa" w:w="1400"/>
            <w:shd w:fill="B7862C"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1900"/>
            <w:shd w:fill="B7862C" w:val="clear"/>
            <w:tcMar>
              <w:top w:type="dxa" w:w="80"/>
              <w:left w:type="dxa" w:w="100"/>
              <w:bottom w:type="dxa" w:w="80"/>
              <w:right w:type="dxa" w:w="100"/>
            </w:tcMar>
            <w:vAlign w:val="center"/>
          </w:tcPr>
          <w:p>
            <w:pPr>
              <w:jc w:val="center"/>
            </w:pPr>
            <w:r>
              <w:rPr>
                <w:b/>
                <w:bCs/>
                <w:color w:val="FFFFFF"/>
                <w:sz w:val="20"/>
                <w:szCs w:val="20"/>
              </w:rPr>
              <w:t xml:space="preserve">Covered in</w:t>
            </w:r>
          </w:p>
        </w:tc>
        <w:tc>
          <w:tcPr>
            <w:tcW w:type="dxa" w:w="6000"/>
            <w:shd w:fill="B7862C" w:val="clear"/>
            <w:tcMar>
              <w:top w:type="dxa" w:w="80"/>
              <w:left w:type="dxa" w:w="100"/>
              <w:bottom w:type="dxa" w:w="80"/>
              <w:right w:type="dxa" w:w="100"/>
            </w:tcMar>
            <w:vAlign w:val="center"/>
          </w:tcPr>
          <w:p>
            <w:pPr>
              <w:jc w:val="left"/>
            </w:pPr>
            <w:r>
              <w:rPr>
                <w:b/>
                <w:bCs/>
                <w:color w:val="FFFFFF"/>
                <w:sz w:val="20"/>
                <w:szCs w:val="20"/>
              </w:rPr>
              <w:t xml:space="preserve">What we are asking DOST Region IV-A for</w:t>
            </w:r>
          </w:p>
        </w:tc>
      </w:tr>
      <w:tr>
        <w:tc>
          <w:tcPr>
            <w:tcW w:type="dxa" w:w="1400"/>
            <w:shd w:fill="FFFFFF" w:val="clear"/>
            <w:tcMar>
              <w:top w:type="dxa" w:w="80"/>
              <w:left w:type="dxa" w:w="100"/>
              <w:bottom w:type="dxa" w:w="80"/>
              <w:right w:type="dxa" w:w="100"/>
            </w:tcMar>
            <w:vAlign w:val="center"/>
          </w:tcPr>
          <w:p>
            <w:pPr>
              <w:jc w:val="center"/>
            </w:pPr>
            <w:r>
              <w:rPr>
                <w:b/>
                <w:bCs/>
                <w:color w:val="B7862C"/>
                <w:sz w:val="20"/>
                <w:szCs w:val="20"/>
              </w:rPr>
              <w:t xml:space="preserve">1</w:t>
            </w:r>
          </w:p>
        </w:tc>
        <w:tc>
          <w:tcPr>
            <w:tcW w:type="dxa" w:w="1900"/>
            <w:shd w:fill="FFFFFF" w:val="clear"/>
            <w:tcMar>
              <w:top w:type="dxa" w:w="80"/>
              <w:left w:type="dxa" w:w="100"/>
              <w:bottom w:type="dxa" w:w="80"/>
              <w:right w:type="dxa" w:w="100"/>
            </w:tcMar>
            <w:vAlign w:val="center"/>
          </w:tcPr>
          <w:p>
            <w:pPr>
              <w:jc w:val="center"/>
            </w:pPr>
            <w:r>
              <w:rPr>
                <w:b/>
                <w:bCs/>
                <w:color w:val="0F7B6C"/>
                <w:sz w:val="20"/>
                <w:szCs w:val="20"/>
              </w:rPr>
              <w:t xml:space="preserve">Segment 04</w:t>
            </w:r>
          </w:p>
        </w:tc>
        <w:tc>
          <w:tcPr>
            <w:tcW w:type="dxa" w:w="6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Formal validation partnership — DOST Region IV-A's endorsement to serve as the study's official validation partner/client, consistent with its regional S&amp;T mandate (DOST A.O. No. 002, s. 1989).</w:t>
            </w:r>
          </w:p>
        </w:tc>
      </w:tr>
      <w:tr>
        <w:tc>
          <w:tcPr>
            <w:tcW w:type="dxa" w:w="1400"/>
            <w:shd w:fill="EDF2F7" w:val="clear"/>
            <w:tcMar>
              <w:top w:type="dxa" w:w="80"/>
              <w:left w:type="dxa" w:w="100"/>
              <w:bottom w:type="dxa" w:w="80"/>
              <w:right w:type="dxa" w:w="100"/>
            </w:tcMar>
            <w:vAlign w:val="center"/>
          </w:tcPr>
          <w:p>
            <w:pPr>
              <w:jc w:val="center"/>
            </w:pPr>
            <w:r>
              <w:rPr>
                <w:b/>
                <w:bCs/>
                <w:color w:val="B7862C"/>
                <w:sz w:val="20"/>
                <w:szCs w:val="20"/>
              </w:rPr>
              <w:t xml:space="preserve">2</w:t>
            </w:r>
          </w:p>
        </w:tc>
        <w:tc>
          <w:tcPr>
            <w:tcW w:type="dxa" w:w="1900"/>
            <w:shd w:fill="EDF2F7" w:val="clear"/>
            <w:tcMar>
              <w:top w:type="dxa" w:w="80"/>
              <w:left w:type="dxa" w:w="100"/>
              <w:bottom w:type="dxa" w:w="80"/>
              <w:right w:type="dxa" w:w="100"/>
            </w:tcMar>
            <w:vAlign w:val="center"/>
          </w:tcPr>
          <w:p>
            <w:pPr>
              <w:jc w:val="center"/>
            </w:pPr>
            <w:r>
              <w:rPr>
                <w:b/>
                <w:bCs/>
                <w:color w:val="0F7B6C"/>
                <w:sz w:val="20"/>
                <w:szCs w:val="20"/>
              </w:rPr>
              <w:t xml:space="preserve">Segment 04</w:t>
            </w:r>
          </w:p>
        </w:tc>
        <w:tc>
          <w:tcPr>
            <w:tcW w:type="dxa" w:w="60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Post-testing evaluators — ~30 DOST Region IV-A technical/project staff to review the attached draft questionnaire and later answer the finalized Google Form (no pre-survey needed — this meeting/interview serves that purpose in Segment 06).</w:t>
            </w:r>
          </w:p>
        </w:tc>
      </w:tr>
      <w:tr>
        <w:tc>
          <w:tcPr>
            <w:tcW w:type="dxa" w:w="1400"/>
            <w:shd w:fill="FFFFFF" w:val="clear"/>
            <w:tcMar>
              <w:top w:type="dxa" w:w="80"/>
              <w:left w:type="dxa" w:w="100"/>
              <w:bottom w:type="dxa" w:w="80"/>
              <w:right w:type="dxa" w:w="100"/>
            </w:tcMar>
            <w:vAlign w:val="center"/>
          </w:tcPr>
          <w:p>
            <w:pPr>
              <w:jc w:val="center"/>
            </w:pPr>
            <w:r>
              <w:rPr>
                <w:b/>
                <w:bCs/>
                <w:color w:val="B7862C"/>
                <w:sz w:val="20"/>
                <w:szCs w:val="20"/>
              </w:rPr>
              <w:t xml:space="preserve">3</w:t>
            </w:r>
          </w:p>
        </w:tc>
        <w:tc>
          <w:tcPr>
            <w:tcW w:type="dxa" w:w="1900"/>
            <w:shd w:fill="FFFFFF" w:val="clear"/>
            <w:tcMar>
              <w:top w:type="dxa" w:w="80"/>
              <w:left w:type="dxa" w:w="100"/>
              <w:bottom w:type="dxa" w:w="80"/>
              <w:right w:type="dxa" w:w="100"/>
            </w:tcMar>
            <w:vAlign w:val="center"/>
          </w:tcPr>
          <w:p>
            <w:pPr>
              <w:jc w:val="center"/>
            </w:pPr>
            <w:r>
              <w:rPr>
                <w:b/>
                <w:bCs/>
                <w:color w:val="0F7B6C"/>
                <w:sz w:val="20"/>
                <w:szCs w:val="20"/>
              </w:rPr>
              <w:t xml:space="preserve">Segment 05</w:t>
            </w:r>
          </w:p>
        </w:tc>
        <w:tc>
          <w:tcPr>
            <w:tcW w:type="dxa" w:w="6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Expert validator(s) for the dataset — one or more domain experts to help verify/label a sample of the training data, strengthening its credibility.</w:t>
            </w:r>
          </w:p>
        </w:tc>
      </w:tr>
    </w:tbl>
    <w:p>
      <w:r>
        <w:br w:type="page"/>
      </w:r>
    </w:p>
    <w:p>
      <w:pPr>
        <w:pStyle w:val="Heading1"/>
        <w:pBdr>
          <w:bottom w:val="single" w:color="1F3864" w:sz="6" w:space="4"/>
        </w:pBdr>
        <w:spacing w:after="160" w:before="360"/>
      </w:pPr>
      <w:r>
        <w:rPr>
          <w:b/>
          <w:bCs/>
          <w:color w:val="1F3864"/>
          <w:sz w:val="28"/>
          <w:szCs w:val="28"/>
        </w:rPr>
        <w:t xml:space="preserve">4. Short Technical Background</w:t>
      </w:r>
    </w:p>
    <w:p>
      <w:pPr>
        <w:spacing w:after="140" w:line="300"/>
      </w:pPr>
      <w:r>
        <w:rPr>
          <w:sz w:val="21"/>
          <w:szCs w:val="21"/>
        </w:rPr>
        <w:t xml:space="preserve">A 3-minute, non-technical-friendly pass through how aiPHeed turns raw public signals into a quarterly forecast — just enough context for the demo that follows to make sense.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What it does</w:t>
            </w:r>
          </w:p>
        </w:tc>
        <w:tc>
          <w:tcPr>
            <w:tcW w:type="dxa" w:w="3700"/>
            <w:shd w:fill="1F3864" w:val="clear"/>
            <w:tcMar>
              <w:top w:type="dxa" w:w="80"/>
              <w:left w:type="dxa" w:w="100"/>
              <w:bottom w:type="dxa" w:w="80"/>
              <w:right w:type="dxa" w:w="100"/>
            </w:tcMar>
            <w:vAlign w:val="center"/>
          </w:tcPr>
          <w:p>
            <w:pPr>
              <w:jc w:val="left"/>
            </w:pPr>
            <w:r>
              <w:rPr>
                <w:b/>
                <w:bCs/>
                <w:color w:val="FFFFFF"/>
                <w:sz w:val="20"/>
                <w:szCs w:val="20"/>
              </w:rPr>
              <w:t xml:space="preserve">Concretely</w:t>
            </w:r>
          </w:p>
        </w:tc>
      </w:tr>
      <w:tr>
        <w:tc>
          <w:tcPr>
            <w:tcW w:type="dxa" w:w="2400"/>
            <w:shd w:fill="FFFFFF" w:val="clear"/>
            <w:tcMar>
              <w:top w:type="dxa" w:w="80"/>
              <w:left w:type="dxa" w:w="100"/>
              <w:bottom w:type="dxa" w:w="80"/>
              <w:right w:type="dxa" w:w="100"/>
            </w:tcMar>
            <w:vAlign w:val="center"/>
          </w:tcPr>
          <w:p>
            <w:pPr>
              <w:jc w:val="left"/>
            </w:pPr>
            <w:r>
              <w:rPr>
                <w:b/>
                <w:bCs/>
                <w:color w:val="0F7B6C"/>
                <w:sz w:val="20"/>
                <w:szCs w:val="20"/>
              </w:rPr>
              <w:t xml:space="preserve">1. News + Government Data</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Ingests two kinds of public signals every quarter</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17,791 Filipino-English news articles (2020–2025) + ~2,732 government datasets (PSA, BSP, DOE, PAGASA, PhilRice, SWS)</w:t>
            </w:r>
          </w:p>
        </w:tc>
      </w:tr>
      <w:tr>
        <w:tc>
          <w:tcPr>
            <w:tcW w:type="dxa" w:w="2400"/>
            <w:shd w:fill="EDF2F7" w:val="clear"/>
            <w:tcMar>
              <w:top w:type="dxa" w:w="80"/>
              <w:left w:type="dxa" w:w="100"/>
              <w:bottom w:type="dxa" w:w="80"/>
              <w:right w:type="dxa" w:w="100"/>
            </w:tcMar>
            <w:vAlign w:val="center"/>
          </w:tcPr>
          <w:p>
            <w:pPr>
              <w:jc w:val="left"/>
            </w:pPr>
            <w:r>
              <w:rPr>
                <w:b/>
                <w:bCs/>
                <w:color w:val="0F7B6C"/>
                <w:sz w:val="20"/>
                <w:szCs w:val="20"/>
              </w:rPr>
              <w:t xml:space="preserve">2. NLP + Feature Engineering</w:t>
            </w:r>
          </w:p>
        </w:tc>
        <w:tc>
          <w:tcPr>
            <w:tcW w:type="dxa" w:w="32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Turns raw text and numbers into structured indicators</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Food Stress Sentiment Index (zero-shot Filipino-English NLP, XLM-RoBERTa), CPI gaps, climate encodings</w:t>
            </w:r>
          </w:p>
        </w:tc>
      </w:tr>
      <w:tr>
        <w:tc>
          <w:tcPr>
            <w:tcW w:type="dxa" w:w="2400"/>
            <w:shd w:fill="FFFFFF" w:val="clear"/>
            <w:tcMar>
              <w:top w:type="dxa" w:w="80"/>
              <w:left w:type="dxa" w:w="100"/>
              <w:bottom w:type="dxa" w:w="80"/>
              <w:right w:type="dxa" w:w="100"/>
            </w:tcMar>
            <w:vAlign w:val="center"/>
          </w:tcPr>
          <w:p>
            <w:pPr>
              <w:jc w:val="left"/>
            </w:pPr>
            <w:r>
              <w:rPr>
                <w:b/>
                <w:bCs/>
                <w:color w:val="0F7B6C"/>
                <w:sz w:val="20"/>
                <w:szCs w:val="20"/>
              </w:rPr>
              <w:t xml:space="preserve">3. LightGBM + SHAP</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Classifies risk and explains why</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HIGH/LOW risk classification per province/LGU, fully explained feature-by-feature — not a black box</w:t>
            </w:r>
          </w:p>
        </w:tc>
      </w:tr>
      <w:tr>
        <w:tc>
          <w:tcPr>
            <w:tcW w:type="dxa" w:w="2400"/>
            <w:shd w:fill="EDF2F7" w:val="clear"/>
            <w:tcMar>
              <w:top w:type="dxa" w:w="80"/>
              <w:left w:type="dxa" w:w="100"/>
              <w:bottom w:type="dxa" w:w="80"/>
              <w:right w:type="dxa" w:w="100"/>
            </w:tcMar>
            <w:vAlign w:val="center"/>
          </w:tcPr>
          <w:p>
            <w:pPr>
              <w:jc w:val="left"/>
            </w:pPr>
            <w:r>
              <w:rPr>
                <w:b/>
                <w:bCs/>
                <w:color w:val="0F7B6C"/>
                <w:sz w:val="20"/>
                <w:szCs w:val="20"/>
              </w:rPr>
              <w:t xml:space="preserve">4. Geospatial Dashboard</w:t>
            </w:r>
          </w:p>
        </w:tc>
        <w:tc>
          <w:tcPr>
            <w:tcW w:type="dxa" w:w="32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Displays and stages the result</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Province + 142-LGU forecasts, rankings, and early-warning alerts, staged for mandatory human review before publication</w:t>
            </w:r>
          </w:p>
        </w:tc>
      </w:tr>
    </w:tbl>
    <w:p>
      <w:pPr>
        <w:spacing w:after="140" w:line="300"/>
      </w:pPr>
      <w:r>
        <w:rPr>
          <w:sz w:val="21"/>
          <w:szCs w:val="21"/>
        </w:rPr>
        <w:t xml:space="preserve">Runs automatically every quarter. Every forecast is staged for mandatory human review before it reaches the public dashboard — aiPHeed flags potential risk; it does not make official classifications or policy decisions.</w:t>
      </w:r>
    </w:p>
    <w:p>
      <w:pPr>
        <w:shd w:fill="EAF3F1" w:val="clear"/>
        <w:spacing w:after="160" w:before="40"/>
      </w:pPr>
      <w:r>
        <w:rPr>
          <w:b/>
          <w:bCs/>
          <w:i/>
          <w:iCs/>
          <w:color w:val="0F7B6C"/>
          <w:sz w:val="19"/>
          <w:szCs w:val="19"/>
        </w:rPr>
        <w:t xml:space="preserve">Nothing today does this for the Philippines — WFP HungerMap excludes us; DOST-FNRI's Heat Map shows the past, not what's next.</w:t>
      </w:r>
    </w:p>
    <w:p>
      <w:pPr>
        <w:pStyle w:val="Heading1"/>
        <w:pBdr>
          <w:bottom w:val="single" w:color="1F3864" w:sz="6" w:space="4"/>
        </w:pBdr>
        <w:spacing w:after="160" w:before="360"/>
      </w:pPr>
      <w:r>
        <w:rPr>
          <w:b/>
          <w:bCs/>
          <w:color w:val="1F3864"/>
          <w:sz w:val="28"/>
          <w:szCs w:val="28"/>
        </w:rPr>
        <w:t xml:space="preserve">5. Live Demo Outline</w:t>
      </w:r>
    </w:p>
    <w:p>
      <w:pPr>
        <w:spacing w:after="140" w:line="300"/>
      </w:pPr>
      <w:r>
        <w:rPr>
          <w:sz w:val="21"/>
          <w:szCs w:val="21"/>
        </w:rPr>
        <w:t xml:space="preserve">Use this as the on-screen run-of-show while sharing the dashboard. Keep each screen to roughly 45–70 seconds — Segment 03 is 9 minutes; skip a screen rather than eating into Segment 04's time.</w:t>
      </w:r>
    </w:p>
    <w:p>
      <w:pPr>
        <w:shd w:fill="F5F0E6" w:val="clear"/>
        <w:spacing w:after="160" w:before="40"/>
      </w:pPr>
      <w:r>
        <w:rPr>
          <w:b/>
          <w:bCs/>
          <w:i/>
          <w:iCs/>
          <w:color w:val="B7862C"/>
          <w:sz w:val="19"/>
          <w:szCs w:val="19"/>
        </w:rPr>
        <w:t xml:space="preserve">Say this before clicking anything: the map, rankings, and alerts you're about to see use MOCK / PLACEHOLDER DATA. The trained model isn't wired into the live dashboard yet — today's demo shows the UI and workflow, not real forecasts. Real forecasts appear once backend integration is done, which is also when the Section 2 (forecast accuracy) items of the post-testing questionnaire become answerable.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Screen</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What to click / show</w:t>
            </w:r>
          </w:p>
        </w:tc>
        <w:tc>
          <w:tcPr>
            <w:tcW w:type="dxa" w:w="3700"/>
            <w:shd w:fill="1F3864" w:val="clear"/>
            <w:tcMar>
              <w:top w:type="dxa" w:w="80"/>
              <w:left w:type="dxa" w:w="100"/>
              <w:bottom w:type="dxa" w:w="80"/>
              <w:right w:type="dxa" w:w="100"/>
            </w:tcMar>
            <w:vAlign w:val="center"/>
          </w:tcPr>
          <w:p>
            <w:pPr>
              <w:jc w:val="left"/>
            </w:pPr>
            <w:r>
              <w:rPr>
                <w:b/>
                <w:bCs/>
                <w:color w:val="FFFFFF"/>
                <w:sz w:val="20"/>
                <w:szCs w:val="20"/>
              </w:rPr>
              <w:t xml:space="preserve">Key talking point</w:t>
            </w:r>
          </w:p>
        </w:tc>
      </w:tr>
      <w:tr>
        <w:tc>
          <w:tcPr>
            <w:tcW w:type="dxa" w:w="2000"/>
            <w:shd w:fill="FFFFFF" w:val="clear"/>
            <w:tcMar>
              <w:top w:type="dxa" w:w="80"/>
              <w:left w:type="dxa" w:w="100"/>
              <w:bottom w:type="dxa" w:w="80"/>
              <w:right w:type="dxa" w:w="100"/>
            </w:tcMar>
            <w:vAlign w:val="center"/>
          </w:tcPr>
          <w:p>
            <w:pPr>
              <w:jc w:val="left"/>
            </w:pPr>
            <w:r>
              <w:rPr>
                <w:b/>
                <w:bCs/>
                <w:color w:val="222222"/>
                <w:sz w:val="20"/>
                <w:szCs w:val="20"/>
              </w:rPr>
              <w:t xml:space="preserve">Landing page</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Show hero section, then the About modal with the research team &amp; adviser</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Introduces aiPHeed's purpose and the DLSU-D research team</w:t>
            </w:r>
          </w:p>
        </w:tc>
      </w:tr>
      <w:tr>
        <w:tc>
          <w:tcPr>
            <w:tcW w:type="dxa" w:w="2000"/>
            <w:shd w:fill="EDF2F7" w:val="clear"/>
            <w:tcMar>
              <w:top w:type="dxa" w:w="80"/>
              <w:left w:type="dxa" w:w="100"/>
              <w:bottom w:type="dxa" w:w="80"/>
              <w:right w:type="dxa" w:w="100"/>
            </w:tcMar>
            <w:vAlign w:val="center"/>
          </w:tcPr>
          <w:p>
            <w:pPr>
              <w:jc w:val="left"/>
            </w:pPr>
            <w:r>
              <w:rPr>
                <w:b/>
                <w:bCs/>
                <w:color w:val="222222"/>
                <w:sz w:val="20"/>
                <w:szCs w:val="20"/>
              </w:rPr>
              <w:t xml:space="preserve">Login</w:t>
            </w:r>
          </w:p>
        </w:tc>
        <w:tc>
          <w:tcPr>
            <w:tcW w:type="dxa" w:w="36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Log in as the demo/reviewer account</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Access is role-based — General Public, DOST Evaluator, and Admin see different views; detailed with the use case diagram in Segment 04</w:t>
            </w:r>
          </w:p>
        </w:tc>
      </w:tr>
      <w:tr>
        <w:tc>
          <w:tcPr>
            <w:tcW w:type="dxa" w:w="2000"/>
            <w:shd w:fill="FFFFFF" w:val="clear"/>
            <w:tcMar>
              <w:top w:type="dxa" w:w="80"/>
              <w:left w:type="dxa" w:w="100"/>
              <w:bottom w:type="dxa" w:w="80"/>
              <w:right w:type="dxa" w:w="100"/>
            </w:tcMar>
            <w:vAlign w:val="center"/>
          </w:tcPr>
          <w:p>
            <w:pPr>
              <w:jc w:val="left"/>
            </w:pPr>
            <w:r>
              <w:rPr>
                <w:b/>
                <w:bCs/>
                <w:color w:val="222222"/>
                <w:sz w:val="20"/>
                <w:szCs w:val="20"/>
              </w:rPr>
              <w:t xml:space="preserve">Visualization – Map</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Point to the CALABARZON map, hover/click a province, use the quarter time slider</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Province-level quarterly risk forecast, color-coded HIGH/LOW risk — the 'View Province Forecasts' use case, covered in full in Segment 04</w:t>
            </w:r>
          </w:p>
        </w:tc>
      </w:tr>
      <w:tr>
        <w:tc>
          <w:tcPr>
            <w:tcW w:type="dxa" w:w="2000"/>
            <w:shd w:fill="EDF2F7" w:val="clear"/>
            <w:tcMar>
              <w:top w:type="dxa" w:w="80"/>
              <w:left w:type="dxa" w:w="100"/>
              <w:bottom w:type="dxa" w:w="80"/>
              <w:right w:type="dxa" w:w="100"/>
            </w:tcMar>
            <w:vAlign w:val="center"/>
          </w:tcPr>
          <w:p>
            <w:pPr>
              <w:jc w:val="left"/>
            </w:pPr>
            <w:r>
              <w:rPr>
                <w:b/>
                <w:bCs/>
                <w:color w:val="222222"/>
                <w:sz w:val="20"/>
                <w:szCs w:val="20"/>
              </w:rPr>
              <w:t xml:space="preserve">Visualization – Sidebar &amp; Rankings</w:t>
            </w:r>
          </w:p>
        </w:tc>
        <w:tc>
          <w:tcPr>
            <w:tcW w:type="dxa" w:w="36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Open the region sidebar and the municipal/city rankings table</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'Access Municipal/City Risk Rankings' — all 142 cities/municipalities, weighted by poverty incidence and population density (also covered in Segment 04)</w:t>
            </w:r>
          </w:p>
        </w:tc>
      </w:tr>
      <w:tr>
        <w:tc>
          <w:tcPr>
            <w:tcW w:type="dxa" w:w="2000"/>
            <w:shd w:fill="FFFFFF" w:val="clear"/>
            <w:tcMar>
              <w:top w:type="dxa" w:w="80"/>
              <w:left w:type="dxa" w:w="100"/>
              <w:bottom w:type="dxa" w:w="80"/>
              <w:right w:type="dxa" w:w="100"/>
            </w:tcMar>
            <w:vAlign w:val="center"/>
          </w:tcPr>
          <w:p>
            <w:pPr>
              <w:jc w:val="left"/>
            </w:pPr>
            <w:r>
              <w:rPr>
                <w:b/>
                <w:bCs/>
                <w:color w:val="222222"/>
                <w:sz w:val="20"/>
                <w:szCs w:val="20"/>
              </w:rPr>
              <w:t xml:space="preserve">Visualization – Right Analytics Panel</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Show the SHAP-style feature explanation panel and national trend chart</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'View Feature Explanation (SHAP)' — the explainability layer introduced in Segment 02's technical background, shown live here</w:t>
            </w:r>
          </w:p>
        </w:tc>
      </w:tr>
      <w:tr>
        <w:tc>
          <w:tcPr>
            <w:tcW w:type="dxa" w:w="2000"/>
            <w:shd w:fill="EDF2F7" w:val="clear"/>
            <w:tcMar>
              <w:top w:type="dxa" w:w="80"/>
              <w:left w:type="dxa" w:w="100"/>
              <w:bottom w:type="dxa" w:w="80"/>
              <w:right w:type="dxa" w:w="100"/>
            </w:tcMar>
            <w:vAlign w:val="center"/>
          </w:tcPr>
          <w:p>
            <w:pPr>
              <w:jc w:val="left"/>
            </w:pPr>
            <w:r>
              <w:rPr>
                <w:b/>
                <w:bCs/>
                <w:color w:val="222222"/>
                <w:sz w:val="20"/>
                <w:szCs w:val="20"/>
              </w:rPr>
              <w:t xml:space="preserve">Early-warning banner / alerts</w:t>
            </w:r>
          </w:p>
        </w:tc>
        <w:tc>
          <w:tcPr>
            <w:tcW w:type="dxa" w:w="36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Show an active alert banner</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'View Active Early-Warning Alerts' — how DOST would be notified once a province crosses the risk threshold</w:t>
            </w:r>
          </w:p>
        </w:tc>
      </w:tr>
      <w:tr>
        <w:tc>
          <w:tcPr>
            <w:tcW w:type="dxa" w:w="2000"/>
            <w:shd w:fill="FFFFFF" w:val="clear"/>
            <w:tcMar>
              <w:top w:type="dxa" w:w="80"/>
              <w:left w:type="dxa" w:w="100"/>
              <w:bottom w:type="dxa" w:w="80"/>
              <w:right w:type="dxa" w:w="100"/>
            </w:tcMar>
            <w:vAlign w:val="center"/>
          </w:tcPr>
          <w:p>
            <w:pPr>
              <w:jc w:val="left"/>
            </w:pPr>
            <w:r>
              <w:rPr>
                <w:b/>
                <w:bCs/>
                <w:color w:val="222222"/>
                <w:sz w:val="20"/>
                <w:szCs w:val="20"/>
              </w:rPr>
              <w:t xml:space="preserve">What-If Sandbox</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Adjust a sample indicator and show the forecast update</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Lets an analyst explore how a change in an indicator could shift the risk outlook</w:t>
            </w:r>
          </w:p>
        </w:tc>
      </w:tr>
      <w:tr>
        <w:tc>
          <w:tcPr>
            <w:tcW w:type="dxa" w:w="2000"/>
            <w:shd w:fill="EDF2F7" w:val="clear"/>
            <w:tcMar>
              <w:top w:type="dxa" w:w="80"/>
              <w:left w:type="dxa" w:w="100"/>
              <w:bottom w:type="dxa" w:w="80"/>
              <w:right w:type="dxa" w:w="100"/>
            </w:tcMar>
            <w:vAlign w:val="center"/>
          </w:tcPr>
          <w:p>
            <w:pPr>
              <w:jc w:val="left"/>
            </w:pPr>
            <w:r>
              <w:rPr>
                <w:b/>
                <w:bCs/>
                <w:color w:val="222222"/>
                <w:sz w:val="20"/>
                <w:szCs w:val="20"/>
              </w:rPr>
              <w:t xml:space="preserve">PDF report export</w:t>
            </w:r>
          </w:p>
        </w:tc>
        <w:tc>
          <w:tcPr>
            <w:tcW w:type="dxa" w:w="36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Click export / generate report</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One-click shareable report for cascading to LGUs or DSWD Field Office IV-A</w:t>
            </w:r>
          </w:p>
        </w:tc>
      </w:tr>
      <w:tr>
        <w:tc>
          <w:tcPr>
            <w:tcW w:type="dxa" w:w="2000"/>
            <w:shd w:fill="FFFFFF" w:val="clear"/>
            <w:tcMar>
              <w:top w:type="dxa" w:w="80"/>
              <w:left w:type="dxa" w:w="100"/>
              <w:bottom w:type="dxa" w:w="80"/>
              <w:right w:type="dxa" w:w="100"/>
            </w:tcMar>
            <w:vAlign w:val="center"/>
          </w:tcPr>
          <w:p>
            <w:pPr>
              <w:jc w:val="left"/>
            </w:pPr>
            <w:r>
              <w:rPr>
                <w:b/>
                <w:bCs/>
                <w:color w:val="222222"/>
                <w:sz w:val="20"/>
                <w:szCs w:val="20"/>
              </w:rPr>
              <w:t xml:space="preserve">Data page</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Show the list of data sources</w:t>
            </w:r>
          </w:p>
        </w:tc>
        <w:tc>
          <w:tcPr>
            <w:tcW w:type="dxa" w:w="3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All inputs are public data — nothing is requested from DOST (detailed in Segment 05)</w:t>
            </w:r>
          </w:p>
        </w:tc>
      </w:tr>
      <w:tr>
        <w:tc>
          <w:tcPr>
            <w:tcW w:type="dxa" w:w="2000"/>
            <w:shd w:fill="EDF2F7" w:val="clear"/>
            <w:tcMar>
              <w:top w:type="dxa" w:w="80"/>
              <w:left w:type="dxa" w:w="100"/>
              <w:bottom w:type="dxa" w:w="80"/>
              <w:right w:type="dxa" w:w="100"/>
            </w:tcMar>
            <w:vAlign w:val="center"/>
          </w:tcPr>
          <w:p>
            <w:pPr>
              <w:jc w:val="left"/>
            </w:pPr>
            <w:r>
              <w:rPr>
                <w:b/>
                <w:bCs/>
                <w:color w:val="222222"/>
                <w:sz w:val="20"/>
                <w:szCs w:val="20"/>
              </w:rPr>
              <w:t xml:space="preserve">Admin review flow</w:t>
            </w:r>
          </w:p>
        </w:tc>
        <w:tc>
          <w:tcPr>
            <w:tcW w:type="dxa" w:w="36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Show the staged-forecast review screen (PENDING → STAGED → PUBLISHED)</w:t>
            </w:r>
          </w:p>
        </w:tc>
        <w:tc>
          <w:tcPr>
            <w:tcW w:type="dxa" w:w="3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'Review Staged Forecast' / 'Confirm-dismiss alert' — where a DOST evaluator's sign-off fits; full use case diagram comes up next in Segment 04</w:t>
            </w:r>
          </w:p>
        </w:tc>
      </w:tr>
    </w:tbl>
    <w:p>
      <w:r>
        <w:br w:type="page"/>
      </w:r>
    </w:p>
    <w:p>
      <w:pPr>
        <w:pStyle w:val="Heading1"/>
        <w:pBdr>
          <w:bottom w:val="single" w:color="1F3864" w:sz="6" w:space="4"/>
        </w:pBdr>
        <w:spacing w:after="160" w:before="360"/>
      </w:pPr>
      <w:r>
        <w:rPr>
          <w:b/>
          <w:bCs/>
          <w:color w:val="1F3864"/>
          <w:sz w:val="28"/>
          <w:szCs w:val="28"/>
        </w:rPr>
        <w:t xml:space="preserve">6. DOST's Role — Use Case Diagram</w:t>
      </w:r>
    </w:p>
    <w:p>
      <w:pPr>
        <w:spacing w:after="140" w:line="300"/>
      </w:pPr>
      <w:r>
        <w:rPr>
          <w:sz w:val="21"/>
          <w:szCs w:val="21"/>
        </w:rPr>
        <w:t xml:space="preserve">Now that DOST has seen the system in action, this section shows exactly how a “DOST Region IV-A Evaluator” account fits into it — straight from the manuscript (Figure 3.6.1). This is the concrete shape of the validation partnership being asked for in Segment 04.</w:t>
      </w:r>
    </w:p>
    <w:p>
      <w:pPr>
        <w:spacing w:after="20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33850"/>
                    </a:xfrm>
                    <a:prstGeom prst="rect">
                      <a:avLst/>
                    </a:prstGeom>
                  </pic:spPr>
                </pic:pic>
              </a:graphicData>
            </a:graphic>
          </wp:inline>
        </w:drawing>
      </w:r>
    </w:p>
    <w:p>
      <w:pPr>
        <w:spacing w:after="80" w:before="200"/>
      </w:pPr>
      <w:r>
        <w:rPr>
          <w:b/>
          <w:bCs/>
          <w:color w:val="222222"/>
          <w:sz w:val="22"/>
          <w:szCs w:val="22"/>
        </w:rPr>
        <w:t xml:space="preserve">The four actors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System Administrator</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Triggers the quarterly pipeline, reviews staged forecasting outputs, and confirms/dismisses alert notifications before they reach the dashboard.</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DOST Region IV-A Evaluator</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The main validating authority of the program. Views province-level risk probabilities, accesses municipal/city risk rankings, views SHAP-based feature explanations, is warned of active early-warning alerts that passed admin review, and views forecast history.</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Automated Scheduler</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Runs the quarterly pipeline automatically on a pre-scheduled date — no human initialization required.</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General Public</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Views province and municipal risk rankings, SHAP explanations, and prediction history — the same read-only views as an Evaluator, without any review/confirm authority.</w:t>
            </w:r>
          </w:p>
        </w:tc>
      </w:tr>
    </w:tbl>
    <w:p>
      <w:pPr>
        <w:spacing w:after="80" w:before="200"/>
      </w:pPr>
      <w:r>
        <w:rPr>
          <w:b/>
          <w:bCs/>
          <w:color w:val="222222"/>
          <w:sz w:val="22"/>
          <w:szCs w:val="22"/>
        </w:rPr>
        <w:t xml:space="preserve">Why this matters for today's ask</w:t>
      </w:r>
    </w:p>
    <w:p>
      <w:pPr>
        <w:spacing w:after="140" w:line="300"/>
      </w:pPr>
      <w:r>
        <w:rPr>
          <w:sz w:val="21"/>
          <w:szCs w:val="21"/>
        </w:rPr>
        <w:t xml:space="preserve">The DOST Region IV-A Evaluator is explicitly modeled as “the main validating authority of the program.” Formalizing the validation partnership (Ask #1) means DOST staff would actually hold this role in the system — reviewing staged forecasts and confirming/dismissing alerts before anything reaches the public dashboard, not just receiving a report after the fact.</w:t>
      </w:r>
    </w:p>
    <w:p>
      <w:pPr>
        <w:pStyle w:val="Heading1"/>
        <w:pBdr>
          <w:bottom w:val="single" w:color="1F3864" w:sz="6" w:space="4"/>
        </w:pBdr>
        <w:spacing w:after="160" w:before="360"/>
      </w:pPr>
      <w:r>
        <w:rPr>
          <w:b/>
          <w:bCs/>
          <w:color w:val="1F3864"/>
          <w:sz w:val="28"/>
          <w:szCs w:val="28"/>
        </w:rPr>
        <w:t xml:space="preserve">7. Post-Testing Questionnaire — Draft Overview</w:t>
      </w:r>
    </w:p>
    <w:p>
      <w:pPr>
        <w:spacing w:after="140" w:line="300"/>
      </w:pPr>
      <w:r>
        <w:rPr>
          <w:sz w:val="21"/>
          <w:szCs w:val="21"/>
        </w:rPr>
        <w:t xml:space="preserve">A full draft is provided as a separate document (aiPHeed_PostTesting_Questionnaire_Draft.docx) for DOST to mark up. The table below is the version to talk through live if there isn't time to open the full file.</w:t>
      </w:r>
    </w:p>
    <w:p>
      <w:pPr>
        <w:shd w:fill="F5F0E6" w:val="clear"/>
        <w:spacing w:after="160" w:before="40"/>
      </w:pPr>
      <w:r>
        <w:rPr>
          <w:b/>
          <w:bCs/>
          <w:i/>
          <w:iCs/>
          <w:color w:val="B7862C"/>
          <w:sz w:val="19"/>
          <w:szCs w:val="19"/>
        </w:rPr>
        <w:t xml:space="preserve">This questionnaire — especially Section 2 (Forecast Accuracy &amp; Relevance) — is meant for AFTER the model is integrated and the dashboard shows real forecasts, not for today's mock-data demo. See Segment 03's script for how that's communicated live.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20"/>
                <w:szCs w:val="20"/>
              </w:rPr>
              <w:t xml:space="preserve">Section</w:t>
            </w:r>
          </w:p>
        </w:tc>
        <w:tc>
          <w:tcPr>
            <w:tcW w:type="dxa" w:w="7000"/>
            <w:shd w:fill="1F3864" w:val="clear"/>
            <w:tcMar>
              <w:top w:type="dxa" w:w="80"/>
              <w:left w:type="dxa" w:w="100"/>
              <w:bottom w:type="dxa" w:w="80"/>
              <w:right w:type="dxa" w:w="100"/>
            </w:tcMar>
            <w:vAlign w:val="center"/>
          </w:tcPr>
          <w:p>
            <w:pPr>
              <w:jc w:val="left"/>
            </w:pPr>
            <w:r>
              <w:rPr>
                <w:b/>
                <w:bCs/>
                <w:color w:val="FFFFFF"/>
                <w:sz w:val="20"/>
                <w:szCs w:val="20"/>
              </w:rPr>
              <w:t xml:space="preserve">What it covers</w:t>
            </w:r>
          </w:p>
        </w:tc>
      </w:tr>
      <w:tr>
        <w:tc>
          <w:tcPr>
            <w:tcW w:type="dxa" w:w="2300"/>
            <w:shd w:fill="FFFFFF" w:val="clear"/>
            <w:tcMar>
              <w:top w:type="dxa" w:w="80"/>
              <w:left w:type="dxa" w:w="100"/>
              <w:bottom w:type="dxa" w:w="80"/>
              <w:right w:type="dxa" w:w="100"/>
            </w:tcMar>
            <w:vAlign w:val="center"/>
          </w:tcPr>
          <w:p>
            <w:pPr>
              <w:jc w:val="left"/>
            </w:pPr>
            <w:r>
              <w:rPr>
                <w:b/>
                <w:bCs/>
                <w:color w:val="0F7B6C"/>
                <w:sz w:val="20"/>
                <w:szCs w:val="20"/>
              </w:rPr>
              <w:t xml:space="preserve">0 — Consent</w:t>
            </w:r>
          </w:p>
        </w:tc>
        <w:tc>
          <w:tcPr>
            <w:tcW w:type="dxa" w:w="7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Purpose, confidentiality (RA 10173), voluntary participation, consent checkbox.</w:t>
            </w:r>
          </w:p>
        </w:tc>
      </w:tr>
      <w:tr>
        <w:tc>
          <w:tcPr>
            <w:tcW w:type="dxa" w:w="2300"/>
            <w:shd w:fill="EDF2F7" w:val="clear"/>
            <w:tcMar>
              <w:top w:type="dxa" w:w="80"/>
              <w:left w:type="dxa" w:w="100"/>
              <w:bottom w:type="dxa" w:w="80"/>
              <w:right w:type="dxa" w:w="100"/>
            </w:tcMar>
            <w:vAlign w:val="center"/>
          </w:tcPr>
          <w:p>
            <w:pPr>
              <w:jc w:val="left"/>
            </w:pPr>
            <w:r>
              <w:rPr>
                <w:b/>
                <w:bCs/>
                <w:color w:val="0F7B6C"/>
                <w:sz w:val="20"/>
                <w:szCs w:val="20"/>
              </w:rPr>
              <w:t xml:space="preserve">1 — Profile</w:t>
            </w:r>
          </w:p>
        </w:tc>
        <w:tc>
          <w:tcPr>
            <w:tcW w:type="dxa" w:w="70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Respondent group (DOST staff / general public), division, experience.</w:t>
            </w:r>
          </w:p>
        </w:tc>
      </w:tr>
      <w:tr>
        <w:tc>
          <w:tcPr>
            <w:tcW w:type="dxa" w:w="2300"/>
            <w:shd w:fill="FFFFFF" w:val="clear"/>
            <w:tcMar>
              <w:top w:type="dxa" w:w="80"/>
              <w:left w:type="dxa" w:w="100"/>
              <w:bottom w:type="dxa" w:w="80"/>
              <w:right w:type="dxa" w:w="100"/>
            </w:tcMar>
            <w:vAlign w:val="center"/>
          </w:tcPr>
          <w:p>
            <w:pPr>
              <w:jc w:val="left"/>
            </w:pPr>
            <w:r>
              <w:rPr>
                <w:b/>
                <w:bCs/>
                <w:color w:val="0F7B6C"/>
                <w:sz w:val="20"/>
                <w:szCs w:val="20"/>
              </w:rPr>
              <w:t xml:space="preserve">2 — Forecast Accuracy &amp; Relevance</w:t>
            </w:r>
          </w:p>
        </w:tc>
        <w:tc>
          <w:tcPr>
            <w:tcW w:type="dxa" w:w="7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5 Likert items — does the risk classification and lead time seem realistic and useful.</w:t>
            </w:r>
          </w:p>
        </w:tc>
      </w:tr>
      <w:tr>
        <w:tc>
          <w:tcPr>
            <w:tcW w:type="dxa" w:w="2300"/>
            <w:shd w:fill="EDF2F7" w:val="clear"/>
            <w:tcMar>
              <w:top w:type="dxa" w:w="80"/>
              <w:left w:type="dxa" w:w="100"/>
              <w:bottom w:type="dxa" w:w="80"/>
              <w:right w:type="dxa" w:w="100"/>
            </w:tcMar>
            <w:vAlign w:val="center"/>
          </w:tcPr>
          <w:p>
            <w:pPr>
              <w:jc w:val="left"/>
            </w:pPr>
            <w:r>
              <w:rPr>
                <w:b/>
                <w:bCs/>
                <w:color w:val="0F7B6C"/>
                <w:sz w:val="20"/>
                <w:szCs w:val="20"/>
              </w:rPr>
              <w:t xml:space="preserve">3 — Functionality</w:t>
            </w:r>
          </w:p>
        </w:tc>
        <w:tc>
          <w:tcPr>
            <w:tcW w:type="dxa" w:w="70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4 Likert items — does the dashboard do what it needs to (map, rankings, alerts, export, review workflow).</w:t>
            </w:r>
          </w:p>
        </w:tc>
      </w:tr>
      <w:tr>
        <w:tc>
          <w:tcPr>
            <w:tcW w:type="dxa" w:w="2300"/>
            <w:shd w:fill="FFFFFF" w:val="clear"/>
            <w:tcMar>
              <w:top w:type="dxa" w:w="80"/>
              <w:left w:type="dxa" w:w="100"/>
              <w:bottom w:type="dxa" w:w="80"/>
              <w:right w:type="dxa" w:w="100"/>
            </w:tcMar>
            <w:vAlign w:val="center"/>
          </w:tcPr>
          <w:p>
            <w:pPr>
              <w:jc w:val="left"/>
            </w:pPr>
            <w:r>
              <w:rPr>
                <w:b/>
                <w:bCs/>
                <w:color w:val="0F7B6C"/>
                <w:sz w:val="20"/>
                <w:szCs w:val="20"/>
              </w:rPr>
              <w:t xml:space="preserve">4 — Usability (ISO/IEC 25010)</w:t>
            </w:r>
          </w:p>
        </w:tc>
        <w:tc>
          <w:tcPr>
            <w:tcW w:type="dxa" w:w="7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6 Likert items — recognizability, learnability, operability, error protection, aesthetics, accessibility.</w:t>
            </w:r>
          </w:p>
        </w:tc>
      </w:tr>
      <w:tr>
        <w:tc>
          <w:tcPr>
            <w:tcW w:type="dxa" w:w="2300"/>
            <w:shd w:fill="EDF2F7" w:val="clear"/>
            <w:tcMar>
              <w:top w:type="dxa" w:w="80"/>
              <w:left w:type="dxa" w:w="100"/>
              <w:bottom w:type="dxa" w:w="80"/>
              <w:right w:type="dxa" w:w="100"/>
            </w:tcMar>
            <w:vAlign w:val="center"/>
          </w:tcPr>
          <w:p>
            <w:pPr>
              <w:jc w:val="left"/>
            </w:pPr>
            <w:r>
              <w:rPr>
                <w:b/>
                <w:bCs/>
                <w:color w:val="0F7B6C"/>
                <w:sz w:val="20"/>
                <w:szCs w:val="20"/>
              </w:rPr>
              <w:t xml:space="preserve">5 — Alignment with DOST Operations</w:t>
            </w:r>
          </w:p>
        </w:tc>
        <w:tc>
          <w:tcPr>
            <w:tcW w:type="dxa" w:w="70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4 Likert items, mainly for DOST staff — fit with the regional S&amp;T mandate and social-protection workflows.</w:t>
            </w:r>
          </w:p>
        </w:tc>
      </w:tr>
      <w:tr>
        <w:tc>
          <w:tcPr>
            <w:tcW w:type="dxa" w:w="2300"/>
            <w:shd w:fill="FFFFFF" w:val="clear"/>
            <w:tcMar>
              <w:top w:type="dxa" w:w="80"/>
              <w:left w:type="dxa" w:w="100"/>
              <w:bottom w:type="dxa" w:w="80"/>
              <w:right w:type="dxa" w:w="100"/>
            </w:tcMar>
            <w:vAlign w:val="center"/>
          </w:tcPr>
          <w:p>
            <w:pPr>
              <w:jc w:val="left"/>
            </w:pPr>
            <w:r>
              <w:rPr>
                <w:b/>
                <w:bCs/>
                <w:color w:val="0F7B6C"/>
                <w:sz w:val="20"/>
                <w:szCs w:val="20"/>
              </w:rPr>
              <w:t xml:space="preserve">6 — Open-ended</w:t>
            </w:r>
          </w:p>
        </w:tc>
        <w:tc>
          <w:tcPr>
            <w:tcW w:type="dxa" w:w="7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4 free-text items — most useful feature, suggested improvements, recommend to pilot?, other comments.</w:t>
            </w:r>
          </w:p>
        </w:tc>
      </w:tr>
    </w:tbl>
    <w:p>
      <w:pPr>
        <w:spacing w:after="80" w:before="200"/>
      </w:pPr>
      <w:r>
        <w:rPr>
          <w:b/>
          <w:bCs/>
          <w:color w:val="222222"/>
          <w:sz w:val="22"/>
          <w:szCs w:val="22"/>
        </w:rPr>
        <w:t xml:space="preserve">Ask during Segment 04</w:t>
      </w:r>
    </w:p>
    <w:p>
      <w:pPr>
        <w:pStyle w:val="ListParagraph"/>
        <w:numPr>
          <w:ilvl w:val="0"/>
          <w:numId w:val="2"/>
        </w:numPr>
        <w:spacing w:after="90" w:line="290"/>
      </w:pPr>
      <w:r>
        <w:rPr>
          <w:sz w:val="21"/>
          <w:szCs w:val="21"/>
        </w:rPr>
        <w:t xml:space="preserve">Please review the attached draft and flag anything redundant, unclear, or missing.</w:t>
      </w:r>
    </w:p>
    <w:p>
      <w:pPr>
        <w:pStyle w:val="ListParagraph"/>
        <w:numPr>
          <w:ilvl w:val="0"/>
          <w:numId w:val="2"/>
        </w:numPr>
        <w:spacing w:after="90" w:line="290"/>
      </w:pPr>
      <w:r>
        <w:rPr>
          <w:sz w:val="21"/>
          <w:szCs w:val="21"/>
        </w:rPr>
        <w:t xml:space="preserve">Confirm whether ~30 DOST Region IV-A staff (Technical Operations, ICT/GIS, S&amp;T project evaluation) can realistically answer this after the demo/pilot period.</w:t>
      </w:r>
    </w:p>
    <w:p>
      <w:pPr>
        <w:pStyle w:val="ListParagraph"/>
        <w:numPr>
          <w:ilvl w:val="0"/>
          <w:numId w:val="2"/>
        </w:numPr>
        <w:spacing w:after="90" w:line="290"/>
      </w:pPr>
      <w:r>
        <w:rPr>
          <w:sz w:val="21"/>
          <w:szCs w:val="21"/>
        </w:rPr>
        <w:t xml:space="preserve">Let us know if DOST prefers a recognized standard instrument (e.g., the 10-item System Usability Scale) instead of/alongside the custom ISO/IEC 25010 items in Section 4.</w:t>
      </w:r>
    </w:p>
    <w:p>
      <w:r>
        <w:br w:type="page"/>
      </w:r>
    </w:p>
    <w:p>
      <w:pPr>
        <w:pStyle w:val="Heading1"/>
        <w:pBdr>
          <w:bottom w:val="single" w:color="1F3864" w:sz="6" w:space="4"/>
        </w:pBdr>
        <w:spacing w:after="160" w:before="360"/>
      </w:pPr>
      <w:r>
        <w:rPr>
          <w:b/>
          <w:bCs/>
          <w:color w:val="1F3864"/>
          <w:sz w:val="28"/>
          <w:szCs w:val="28"/>
        </w:rPr>
        <w:t xml:space="preserve">8. Data Walkthrough — For Validation &amp; Annotation</w:t>
      </w:r>
    </w:p>
    <w:p>
      <w:pPr>
        <w:spacing w:after="140" w:line="300"/>
      </w:pPr>
      <w:r>
        <w:rPr>
          <w:sz w:val="21"/>
          <w:szCs w:val="21"/>
        </w:rPr>
        <w:t xml:space="preserve">Two messages in this segment: (1) we are not requesting any data from DOST — every input is public; (2) we would welcome DOST's expertise to help verify a sample of our own training data.</w:t>
      </w:r>
    </w:p>
    <w:p>
      <w:pPr>
        <w:spacing w:after="80" w:before="200"/>
      </w:pPr>
      <w:r>
        <w:rPr>
          <w:b/>
          <w:bCs/>
          <w:color w:val="222222"/>
          <w:sz w:val="22"/>
          <w:szCs w:val="22"/>
        </w:rPr>
        <w:t xml:space="preserve">Where the data comes from</w:t>
      </w:r>
    </w:p>
    <w:p>
      <w:pPr>
        <w:pStyle w:val="ListParagraph"/>
        <w:numPr>
          <w:ilvl w:val="0"/>
          <w:numId w:val="2"/>
        </w:numPr>
        <w:spacing w:after="90" w:line="290"/>
      </w:pPr>
      <w:r>
        <w:rPr>
          <w:sz w:val="21"/>
          <w:szCs w:val="21"/>
        </w:rPr>
        <w:t xml:space="preserve">News corpus: 17,791 Filipino-English articles (2020–2025) — RSS feeds, Google News, GDELT.</w:t>
      </w:r>
    </w:p>
    <w:p>
      <w:pPr>
        <w:pStyle w:val="ListParagraph"/>
        <w:numPr>
          <w:ilvl w:val="0"/>
          <w:numId w:val="2"/>
        </w:numPr>
        <w:spacing w:after="90" w:line="290"/>
      </w:pPr>
      <w:r>
        <w:rPr>
          <w:sz w:val="21"/>
          <w:szCs w:val="21"/>
        </w:rPr>
        <w:t xml:space="preserve">Government indicators: ~2,732 datasets — PSA OpenStat, BSP, DOE, PAGASA, PhilRice Ricelytics, PSA NRP, SWS.</w:t>
      </w:r>
    </w:p>
    <w:p>
      <w:pPr>
        <w:pStyle w:val="ListParagraph"/>
        <w:numPr>
          <w:ilvl w:val="0"/>
          <w:numId w:val="2"/>
        </w:numPr>
        <w:spacing w:after="90" w:line="290"/>
      </w:pPr>
      <w:r>
        <w:rPr>
          <w:sz w:val="21"/>
          <w:szCs w:val="21"/>
        </w:rPr>
        <w:t xml:space="preserve">Nothing from DOST Region IV-A itself — no Listahanan, CBMS, or internal DOST records are used or requested.</w:t>
      </w:r>
    </w:p>
    <w:p>
      <w:pPr>
        <w:spacing w:after="80" w:before="200"/>
      </w:pPr>
      <w:r>
        <w:rPr>
          <w:b/>
          <w:bCs/>
          <w:color w:val="222222"/>
          <w:sz w:val="22"/>
          <w:szCs w:val="22"/>
        </w:rPr>
        <w:t xml:space="preserve">What “verify/label the dataset” concretely looks like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FFFFFF" w:val="clear"/>
            <w:tcMar>
              <w:top w:type="dxa" w:w="80"/>
              <w:left w:type="dxa" w:w="100"/>
              <w:bottom w:type="dxa" w:w="80"/>
              <w:right w:type="dxa" w:w="100"/>
            </w:tcMar>
            <w:vAlign w:val="center"/>
          </w:tcPr>
          <w:p>
            <w:pPr>
              <w:jc w:val="left"/>
            </w:pPr>
            <w:r>
              <w:rPr>
                <w:b/>
                <w:bCs/>
                <w:color w:val="1F3864"/>
                <w:sz w:val="20"/>
                <w:szCs w:val="20"/>
              </w:rPr>
              <w:t xml:space="preserve">Sample article snippet</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“Tumaas ang presyo ng bigas sa Batangas dahil sa pagkasira ng ani mula sa bagyong Kristine, ayon sa mga magsasaka.” (Rice prices rose in Batangas due to crop damage from Typhoon Kristine, according to farmers.)</w:t>
            </w:r>
          </w:p>
        </w:tc>
      </w:tr>
      <w:tr>
        <w:tc>
          <w:tcPr>
            <w:tcW w:type="dxa" w:w="2400"/>
            <w:shd w:fill="EDF2F7" w:val="clear"/>
            <w:tcMar>
              <w:top w:type="dxa" w:w="80"/>
              <w:left w:type="dxa" w:w="100"/>
              <w:bottom w:type="dxa" w:w="80"/>
              <w:right w:type="dxa" w:w="100"/>
            </w:tcMar>
            <w:vAlign w:val="center"/>
          </w:tcPr>
          <w:p>
            <w:pPr>
              <w:jc w:val="left"/>
            </w:pPr>
            <w:r>
              <w:rPr>
                <w:b/>
                <w:bCs/>
                <w:color w:val="1F3864"/>
                <w:sz w:val="20"/>
                <w:szCs w:val="20"/>
              </w:rPr>
              <w:t xml:space="preserve">Trigger categories to confirm</w:t>
            </w:r>
          </w:p>
        </w:tc>
        <w:tc>
          <w:tcPr>
            <w:tcW w:type="dxa" w:w="69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[x] Market issues (price increase)     [x] Climate events (typhoon, crop damage)
[ ] Employment disruptions     [ ] OFW remittances     [ ] Fish kill incidents</w:t>
            </w:r>
          </w:p>
        </w:tc>
      </w:tr>
      <w:tr>
        <w:tc>
          <w:tcPr>
            <w:tcW w:type="dxa" w:w="2400"/>
            <w:shd w:fill="FFFFFF" w:val="clear"/>
            <w:tcMar>
              <w:top w:type="dxa" w:w="80"/>
              <w:left w:type="dxa" w:w="100"/>
              <w:bottom w:type="dxa" w:w="80"/>
              <w:right w:type="dxa" w:w="100"/>
            </w:tcMar>
            <w:vAlign w:val="center"/>
          </w:tcPr>
          <w:p>
            <w:pPr>
              <w:jc w:val="left"/>
            </w:pPr>
            <w:r>
              <w:rPr>
                <w:b/>
                <w:bCs/>
                <w:color w:val="1F3864"/>
                <w:sz w:val="20"/>
                <w:szCs w:val="20"/>
              </w:rPr>
              <w:t xml:space="preserve">What we'd ask an expert validator to do</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Confirm or correct the category tags on a sample of articles like this one, and flag any article that seems mis-scored by the NLP model. A spreadsheet or simple annotation sheet works — format is flexible.</w:t>
            </w:r>
          </w:p>
        </w:tc>
      </w:tr>
    </w:tbl>
    <w:p>
      <w:pPr>
        <w:spacing w:after="80" w:before="200"/>
      </w:pPr>
      <w:r>
        <w:rPr>
          <w:b/>
          <w:bCs/>
          <w:color w:val="222222"/>
          <w:sz w:val="22"/>
          <w:szCs w:val="22"/>
        </w:rPr>
        <w:t xml:space="preserve">The ask</w:t>
      </w:r>
    </w:p>
    <w:p>
      <w:pPr>
        <w:spacing w:after="140" w:line="300"/>
      </w:pPr>
      <w:r>
        <w:rPr>
          <w:sz w:val="21"/>
          <w:szCs w:val="21"/>
        </w:rPr>
        <w:t xml:space="preserve">One or more DOST staff with relevant domain knowledge to review a sample of articles like the one above and confirm/correct the trigger-category tags. This is a light commitment — a sample, not the full 17,791 articles — and the format (spreadsheet, shared sheet, simple form) is flexible to whatever's easiest for DOST.</w:t>
      </w:r>
    </w:p>
    <w:p>
      <w:pPr>
        <w:pStyle w:val="Heading1"/>
        <w:pBdr>
          <w:bottom w:val="single" w:color="1F3864" w:sz="6" w:space="4"/>
        </w:pBdr>
        <w:spacing w:after="160" w:before="360"/>
      </w:pPr>
      <w:r>
        <w:rPr>
          <w:b/>
          <w:bCs/>
          <w:color w:val="1F3864"/>
          <w:sz w:val="28"/>
          <w:szCs w:val="28"/>
        </w:rPr>
        <w:t xml:space="preserve">9. More Questions — Pre-Interview &amp; Closing</w:t>
      </w:r>
    </w:p>
    <w:p>
      <w:pPr>
        <w:spacing w:after="140" w:line="300"/>
      </w:pPr>
      <w:r>
        <w:rPr>
          <w:sz w:val="21"/>
          <w:szCs w:val="21"/>
        </w:rPr>
        <w:t xml:space="preserve">This segment does double duty. First, it's the pre-testing instrument — DOST explicitly requested no separate pre-survey since this meeting/interview serves that purpose. Ask these live and take detailed notes; there is no form to fall back on for this part. Second, once DOST has answered, the floor opens for DOST's own questions, and the call closes here.</w:t>
      </w:r>
    </w:p>
    <w:p>
      <w:pPr>
        <w:spacing w:after="80" w:before="200"/>
      </w:pPr>
      <w:r>
        <w:rPr>
          <w:b/>
          <w:bCs/>
          <w:color w:val="222222"/>
          <w:sz w:val="22"/>
          <w:szCs w:val="22"/>
        </w:rPr>
        <w:t xml:space="preserve">A. Current practice &amp; awareness</w:t>
      </w:r>
    </w:p>
    <w:p>
      <w:pPr>
        <w:pStyle w:val="ListParagraph"/>
        <w:numPr>
          <w:ilvl w:val="0"/>
          <w:numId w:val="2"/>
        </w:numPr>
        <w:spacing w:after="90" w:line="290"/>
      </w:pPr>
      <w:r>
        <w:rPr>
          <w:sz w:val="21"/>
          <w:szCs w:val="21"/>
        </w:rPr>
        <w:t xml:space="preserve">What tools, reports, or processes does DOST Region IV-A currently use to monitor food insecurity or related risks in CALABARZON?</w:t>
      </w:r>
    </w:p>
    <w:p>
      <w:pPr>
        <w:pStyle w:val="ListParagraph"/>
        <w:numPr>
          <w:ilvl w:val="0"/>
          <w:numId w:val="2"/>
        </w:numPr>
        <w:spacing w:after="90" w:line="290"/>
      </w:pPr>
      <w:r>
        <w:rPr>
          <w:sz w:val="21"/>
          <w:szCs w:val="21"/>
        </w:rPr>
        <w:t xml:space="preserve">How often is that information updated, and how is it currently shared with LGUs or other agencies?</w:t>
      </w:r>
    </w:p>
    <w:p>
      <w:pPr>
        <w:pStyle w:val="ListParagraph"/>
        <w:numPr>
          <w:ilvl w:val="0"/>
          <w:numId w:val="2"/>
        </w:numPr>
        <w:spacing w:after="90" w:line="290"/>
      </w:pPr>
      <w:r>
        <w:rPr>
          <w:sz w:val="21"/>
          <w:szCs w:val="21"/>
        </w:rPr>
        <w:t xml:space="preserve">Where do you currently feel the biggest blind spot is — geographically, or in terms of how fast you find out about an emerging problem?</w:t>
      </w:r>
    </w:p>
    <w:p>
      <w:pPr>
        <w:spacing w:after="80" w:before="200"/>
      </w:pPr>
      <w:r>
        <w:rPr>
          <w:b/>
          <w:bCs/>
          <w:color w:val="222222"/>
          <w:sz w:val="22"/>
          <w:szCs w:val="22"/>
        </w:rPr>
        <w:t xml:space="preserve">B. Desired features</w:t>
      </w:r>
    </w:p>
    <w:p>
      <w:pPr>
        <w:pStyle w:val="ListParagraph"/>
        <w:numPr>
          <w:ilvl w:val="0"/>
          <w:numId w:val="2"/>
        </w:numPr>
        <w:spacing w:after="90" w:line="290"/>
      </w:pPr>
      <w:r>
        <w:rPr>
          <w:sz w:val="21"/>
          <w:szCs w:val="21"/>
        </w:rPr>
        <w:t xml:space="preserve">Based on what you've seen so far, what features would make aiPHeed genuinely useful in your day-to-day work?</w:t>
      </w:r>
    </w:p>
    <w:p>
      <w:pPr>
        <w:pStyle w:val="ListParagraph"/>
        <w:numPr>
          <w:ilvl w:val="0"/>
          <w:numId w:val="2"/>
        </w:numPr>
        <w:spacing w:after="90" w:line="290"/>
      </w:pPr>
      <w:r>
        <w:rPr>
          <w:sz w:val="21"/>
          <w:szCs w:val="21"/>
        </w:rPr>
        <w:t xml:space="preserve">What risk categories, commodities, or vulnerable groups should the system prioritize?</w:t>
      </w:r>
    </w:p>
    <w:p>
      <w:pPr>
        <w:pStyle w:val="ListParagraph"/>
        <w:numPr>
          <w:ilvl w:val="0"/>
          <w:numId w:val="2"/>
        </w:numPr>
        <w:spacing w:after="90" w:line="290"/>
      </w:pPr>
      <w:r>
        <w:rPr>
          <w:sz w:val="21"/>
          <w:szCs w:val="21"/>
        </w:rPr>
        <w:t xml:space="preserve">What format of output would be most usable for you — dashboard, PDF report, API, email alert, something else?</w:t>
      </w:r>
    </w:p>
    <w:p>
      <w:pPr>
        <w:spacing w:after="80" w:before="200"/>
      </w:pPr>
      <w:r>
        <w:rPr>
          <w:b/>
          <w:bCs/>
          <w:color w:val="222222"/>
          <w:sz w:val="22"/>
          <w:szCs w:val="22"/>
        </w:rPr>
        <w:t xml:space="preserve">C. Need &amp; usefulness</w:t>
      </w:r>
    </w:p>
    <w:p>
      <w:pPr>
        <w:pStyle w:val="ListParagraph"/>
        <w:numPr>
          <w:ilvl w:val="0"/>
          <w:numId w:val="2"/>
        </w:numPr>
        <w:spacing w:after="90" w:line="290"/>
      </w:pPr>
      <w:r>
        <w:rPr>
          <w:sz w:val="21"/>
          <w:szCs w:val="21"/>
        </w:rPr>
        <w:t xml:space="preserve">Do you see a real need for a tool like this at DOST Region IV-A, given what already exists (Heat Map, PSA data, etc.)?</w:t>
      </w:r>
    </w:p>
    <w:p>
      <w:pPr>
        <w:pStyle w:val="ListParagraph"/>
        <w:numPr>
          <w:ilvl w:val="0"/>
          <w:numId w:val="2"/>
        </w:numPr>
        <w:spacing w:after="90" w:line="290"/>
      </w:pPr>
      <w:r>
        <w:rPr>
          <w:sz w:val="21"/>
          <w:szCs w:val="21"/>
        </w:rPr>
        <w:t xml:space="preserve">Would this fit into an existing workflow, or would it require a new one?</w:t>
      </w:r>
    </w:p>
    <w:p>
      <w:pPr>
        <w:pStyle w:val="ListParagraph"/>
        <w:numPr>
          <w:ilvl w:val="0"/>
          <w:numId w:val="2"/>
        </w:numPr>
        <w:spacing w:after="90" w:line="290"/>
      </w:pPr>
      <w:r>
        <w:rPr>
          <w:sz w:val="21"/>
          <w:szCs w:val="21"/>
        </w:rPr>
        <w:t xml:space="preserve">Is quarterly the right cadence, or would DOST want forecasts more or less frequently?</w:t>
      </w:r>
    </w:p>
    <w:p>
      <w:pPr>
        <w:spacing w:after="80" w:before="200"/>
      </w:pPr>
      <w:r>
        <w:rPr>
          <w:b/>
          <w:bCs/>
          <w:color w:val="222222"/>
          <w:sz w:val="22"/>
          <w:szCs w:val="22"/>
        </w:rPr>
        <w:t xml:space="preserve">D. Capacity &amp; fit</w:t>
      </w:r>
    </w:p>
    <w:p>
      <w:pPr>
        <w:pStyle w:val="ListParagraph"/>
        <w:numPr>
          <w:ilvl w:val="0"/>
          <w:numId w:val="2"/>
        </w:numPr>
        <w:spacing w:after="90" w:line="290"/>
      </w:pPr>
      <w:r>
        <w:rPr>
          <w:sz w:val="21"/>
          <w:szCs w:val="21"/>
        </w:rPr>
        <w:t xml:space="preserve">Who, realistically, would be the day-to-day user of this system if it were adopted — a specific division, or several?</w:t>
      </w:r>
    </w:p>
    <w:p>
      <w:pPr>
        <w:pStyle w:val="ListParagraph"/>
        <w:numPr>
          <w:ilvl w:val="0"/>
          <w:numId w:val="2"/>
        </w:numPr>
        <w:spacing w:after="90" w:line="290"/>
      </w:pPr>
      <w:r>
        <w:rPr>
          <w:sz w:val="21"/>
          <w:szCs w:val="21"/>
        </w:rPr>
        <w:t xml:space="preserve">What would DOST need to see from the post-testing results to consider a wider pilot?</w:t>
      </w:r>
    </w:p>
    <w:p>
      <w:pPr>
        <w:spacing w:after="80" w:before="200"/>
      </w:pPr>
      <w:r>
        <w:rPr>
          <w:b/>
          <w:bCs/>
          <w:color w:val="222222"/>
          <w:sz w:val="22"/>
          <w:szCs w:val="22"/>
        </w:rPr>
        <w:t xml:space="preserve">Closing &amp; next steps</w:t>
      </w:r>
    </w:p>
    <w:p>
      <w:pPr>
        <w:spacing w:after="140" w:line="300"/>
      </w:pPr>
      <w:r>
        <w:rPr>
          <w:sz w:val="21"/>
          <w:szCs w:val="21"/>
        </w:rPr>
        <w:t xml:space="preserve">Once DOST's questions and pre-interview answers are captured, close with:</w:t>
      </w:r>
    </w:p>
    <w:p>
      <w:pPr>
        <w:pStyle w:val="ListParagraph"/>
        <w:numPr>
          <w:ilvl w:val="0"/>
          <w:numId w:val="2"/>
        </w:numPr>
        <w:spacing w:after="90" w:line="290"/>
      </w:pPr>
      <w:r>
        <w:rPr>
          <w:sz w:val="21"/>
          <w:szCs w:val="21"/>
        </w:rPr>
        <w:t xml:space="preserve">Confirming next steps — the finalized post-testing form will be sent after DOST's review of the questionnaire draft; the team will coordinate separately on the expert validator for the dataset.</w:t>
      </w:r>
    </w:p>
    <w:p>
      <w:pPr>
        <w:pStyle w:val="ListParagraph"/>
        <w:numPr>
          <w:ilvl w:val="0"/>
          <w:numId w:val="2"/>
        </w:numPr>
        <w:spacing w:after="90" w:line="290"/>
      </w:pPr>
      <w:r>
        <w:rPr>
          <w:sz w:val="21"/>
          <w:szCs w:val="21"/>
        </w:rPr>
        <w:t xml:space="preserve">A follow-up email within 24 hours summarizing the meeting, the questionnaire feedback request, next steps, and contact details.</w:t>
      </w:r>
    </w:p>
    <w:p>
      <w:pPr>
        <w:pStyle w:val="ListParagraph"/>
        <w:numPr>
          <w:ilvl w:val="0"/>
          <w:numId w:val="2"/>
        </w:numPr>
        <w:spacing w:after="90" w:line="290"/>
      </w:pPr>
      <w:r>
        <w:rPr>
          <w:sz w:val="21"/>
          <w:szCs w:val="21"/>
        </w:rPr>
        <w:t xml:space="preserve">A thank-you to the ARD for the time and the potential partnership.</w:t>
      </w:r>
    </w:p>
    <w:p>
      <w:r>
        <w:br w:type="page"/>
      </w:r>
    </w:p>
    <w:p>
      <w:pPr>
        <w:pStyle w:val="Heading1"/>
        <w:pBdr>
          <w:bottom w:val="single" w:color="1F3864" w:sz="6" w:space="4"/>
        </w:pBdr>
        <w:spacing w:after="160" w:before="360"/>
      </w:pPr>
      <w:r>
        <w:rPr>
          <w:b/>
          <w:bCs/>
          <w:color w:val="1F3864"/>
          <w:sz w:val="28"/>
          <w:szCs w:val="28"/>
        </w:rPr>
        <w:t xml:space="preserve">10. Full Script</w:t>
      </w:r>
    </w:p>
    <w:p>
      <w:pPr>
        <w:spacing w:after="140" w:line="300"/>
      </w:pPr>
      <w:r>
        <w:rPr>
          <w:sz w:val="21"/>
          <w:szCs w:val="21"/>
        </w:rPr>
        <w:t xml:space="preserve">Word-for-word script in Taglish, divided among the three members, in the exact order of the agenda in Section 2. Segment numbers below (02–06) match the reference sections above. Lines in shaded boxes are stage directions, not spoken lines.</w:t>
      </w:r>
    </w:p>
    <w:p>
      <w:pPr>
        <w:pStyle w:val="Heading2"/>
        <w:spacing w:after="120" w:before="260"/>
      </w:pPr>
      <w:r>
        <w:rPr>
          <w:b/>
          <w:bCs/>
          <w:color w:val="0F7B6C"/>
          <w:sz w:val="24"/>
          <w:szCs w:val="24"/>
        </w:rPr>
        <w:t xml:space="preserve">10.1  01 · Intro  (0:00–0:02)</w:t>
      </w:r>
    </w:p>
    <w:p>
      <w:pPr>
        <w:spacing w:after="140" w:line="300"/>
      </w:pPr>
      <w:r>
        <w:rPr>
          <w:i/>
          <w:iCs/>
          <w:color w:val="666666"/>
          <w:sz w:val="18"/>
          <w:szCs w:val="18"/>
        </w:rPr>
        <w:t xml:space="preserve">Destura leads; Esico delivers the problem statistics.</w:t>
      </w:r>
    </w:p>
    <w:p>
      <w:pPr>
        <w:spacing w:after="160" w:line="300"/>
      </w:pPr>
      <w:r>
        <w:rPr>
          <w:b/>
          <w:bCs/>
          <w:color w:val="1F3864"/>
          <w:sz w:val="21"/>
          <w:szCs w:val="21"/>
        </w:rPr>
        <w:t xml:space="preserve">Destura: </w:t>
      </w:r>
      <w:r>
        <w:rPr>
          <w:sz w:val="21"/>
          <w:szCs w:val="21"/>
        </w:rPr>
        <w:t xml:space="preserve">Magandang araw po, Assistant Regional Director Barquilla! Salamat po sa oras ninyo — ako po si Princess Gwenn Destura, kasama sina Christina Esico at Angel Vhea Melindo, BS Computer Science, Intelligence Systems track, De La Salle University–Dasmariñas, sa ilalim ni Dr. Rolando Barrameda.</w:t>
      </w:r>
    </w:p>
    <w:p>
      <w:pPr>
        <w:spacing w:after="160" w:line="300"/>
      </w:pPr>
      <w:r>
        <w:rPr>
          <w:b/>
          <w:bCs/>
          <w:color w:val="1F3864"/>
          <w:sz w:val="21"/>
          <w:szCs w:val="21"/>
        </w:rPr>
        <w:t xml:space="preserve">Destura: </w:t>
      </w:r>
      <w:r>
        <w:rPr>
          <w:sz w:val="21"/>
          <w:szCs w:val="21"/>
        </w:rPr>
        <w:t xml:space="preserve">Ang thesis po namin, ang aiPHeed, ay isang forecasting system para sa food insecurity sa CALABARZON. Ngayon po, anim na bagay ang gusto naming ma-cover: una, ang problemang sinasagot namin; pangalawa, maikling teknikal na background; pangatlo, ang live demo; pang-apat, ang inyong papel bilang DOST Evaluator kasama ang draft ng aming post-testing questionnaire; panlima, ang aming datos; at panghuli, may mga karagdagang tanong kami sa inyo — at bukas din po kami sa inyong mga tanong bago kami magtapos.</w:t>
      </w:r>
    </w:p>
    <w:p>
      <w:pPr>
        <w:spacing w:after="160" w:line="300"/>
      </w:pPr>
      <w:r>
        <w:rPr>
          <w:b/>
          <w:bCs/>
          <w:color w:val="0F7B6C"/>
          <w:sz w:val="21"/>
          <w:szCs w:val="21"/>
        </w:rPr>
        <w:t xml:space="preserve">Esico: </w:t>
      </w:r>
      <w:r>
        <w:rPr>
          <w:sz w:val="21"/>
          <w:szCs w:val="21"/>
        </w:rPr>
        <w:t xml:space="preserve">Para malinaw po ang laki ng problema, sir: base sa DOST-FNRI 2024, 44% ng households ay food insecure noong 2023, at 237,800 katao sa Region IV-A ang hindi pa rin naaabot ng sapat na pagkain — habang ang mga opisyal na survey ay every 2 to 3 years lang lumalabas.</w:t>
      </w:r>
    </w:p>
    <w:p>
      <w:pPr>
        <w:spacing w:after="160" w:line="300"/>
      </w:pPr>
      <w:r>
        <w:rPr>
          <w:b/>
          <w:bCs/>
          <w:color w:val="1F3864"/>
          <w:sz w:val="21"/>
          <w:szCs w:val="21"/>
        </w:rPr>
        <w:t xml:space="preserve">Destura: </w:t>
      </w:r>
      <w:r>
        <w:rPr>
          <w:sz w:val="21"/>
          <w:szCs w:val="21"/>
        </w:rPr>
        <w:t xml:space="preserve">Kaya po ginawa namin ang aiPHeed. Sige po, magsisimula muna kami sa maikling teknikal na background ng system.</w:t>
      </w:r>
    </w:p>
    <w:p>
      <w:pPr>
        <w:pStyle w:val="Heading2"/>
        <w:spacing w:after="120" w:before="260"/>
      </w:pPr>
      <w:r>
        <w:rPr>
          <w:b/>
          <w:bCs/>
          <w:color w:val="0F7B6C"/>
          <w:sz w:val="24"/>
          <w:szCs w:val="24"/>
        </w:rPr>
        <w:t xml:space="preserve">10.2  02 · Short Technical Background  (0:02–0:05)</w:t>
      </w:r>
    </w:p>
    <w:p>
      <w:pPr>
        <w:spacing w:after="140" w:line="300"/>
      </w:pPr>
      <w:r>
        <w:rPr>
          <w:i/>
          <w:iCs/>
          <w:color w:val="666666"/>
          <w:sz w:val="18"/>
          <w:szCs w:val="18"/>
        </w:rPr>
        <w:t xml:space="preserve">Melindo leads.</w:t>
      </w:r>
    </w:p>
    <w:p>
      <w:pPr>
        <w:shd w:fill="F5F0E6" w:val="clear"/>
        <w:spacing w:after="140" w:before="40"/>
      </w:pPr>
      <w:r>
        <w:rPr>
          <w:i/>
          <w:iCs/>
          <w:color w:val="B7862C"/>
          <w:sz w:val="19"/>
          <w:szCs w:val="19"/>
        </w:rPr>
        <w:t xml:space="preserve">▶ Show the Short Technical Background slide (Section 4).</w:t>
      </w:r>
    </w:p>
    <w:p>
      <w:pPr>
        <w:spacing w:after="160" w:line="300"/>
      </w:pPr>
      <w:r>
        <w:rPr>
          <w:b/>
          <w:bCs/>
          <w:color w:val="B7862C"/>
          <w:sz w:val="21"/>
          <w:szCs w:val="21"/>
        </w:rPr>
        <w:t xml:space="preserve">Melindo: </w:t>
      </w:r>
      <w:r>
        <w:rPr>
          <w:sz w:val="21"/>
          <w:szCs w:val="21"/>
        </w:rPr>
        <w:t xml:space="preserve">Sir, bago namin ipakita ang live demo, gusto lang po naming ipaliwanag nang maikli kung paano gumagana ang aiPHeed sa likod ng eksena. Dalawang klase po ng datos ang pinapasok namin kada quarter: mga balita — 17,791 Filipino-English news articles mula 2020 hanggang 2025 — at humigit-kumulang 2,732 government datasets mula sa PSA, BSP, DOE, PAGASA, PhilRice, at SWS.</w:t>
      </w:r>
    </w:p>
    <w:p>
      <w:pPr>
        <w:spacing w:after="160" w:line="300"/>
      </w:pPr>
      <w:r>
        <w:rPr>
          <w:b/>
          <w:bCs/>
          <w:color w:val="B7862C"/>
          <w:sz w:val="21"/>
          <w:szCs w:val="21"/>
        </w:rPr>
        <w:t xml:space="preserve">Melindo: </w:t>
      </w:r>
      <w:r>
        <w:rPr>
          <w:sz w:val="21"/>
          <w:szCs w:val="21"/>
        </w:rPr>
        <w:t xml:space="preserve">Dumadaan po ito sa NLP para makabuo ng Food Stress Sentiment Index at iba pang features, tapos kino-classify ng isang LightGBM model bilang HIGH o LOW risk — at bawat forecast po ay may kasamang SHAP explanation, para malinaw kung anong mga indicators ang nag-drive sa resulta. Hindi po ito isang black box.</w:t>
      </w:r>
    </w:p>
    <w:p>
      <w:pPr>
        <w:spacing w:after="160" w:line="300"/>
      </w:pPr>
      <w:r>
        <w:rPr>
          <w:b/>
          <w:bCs/>
          <w:color w:val="B7862C"/>
          <w:sz w:val="21"/>
          <w:szCs w:val="21"/>
        </w:rPr>
        <w:t xml:space="preserve">Melindo: </w:t>
      </w:r>
      <w:r>
        <w:rPr>
          <w:sz w:val="21"/>
          <w:szCs w:val="21"/>
        </w:rPr>
        <w:t xml:space="preserve">Tumatakbo po ito automatic kada quarter, pero bago ito ma-publish sa dashboard, dumadaan muna ito sa mandatory human review — kaya po mahalaga ang inyong papel bilang DOST Evaluator, na ipapakita namin sa ilang minuto.</w:t>
      </w:r>
    </w:p>
    <w:p>
      <w:pPr>
        <w:spacing w:after="160" w:line="300"/>
      </w:pPr>
      <w:r>
        <w:rPr>
          <w:b/>
          <w:bCs/>
          <w:color w:val="B7862C"/>
          <w:sz w:val="21"/>
          <w:szCs w:val="21"/>
        </w:rPr>
        <w:t xml:space="preserve">Melindo: </w:t>
      </w:r>
      <w:r>
        <w:rPr>
          <w:sz w:val="21"/>
          <w:szCs w:val="21"/>
        </w:rPr>
        <w:t xml:space="preserve">Ngayon, ipapakita na po namin ito nang live — Destura, sa iyo na po.</w:t>
      </w:r>
    </w:p>
    <w:p>
      <w:pPr>
        <w:pStyle w:val="Heading2"/>
        <w:spacing w:after="120" w:before="260"/>
      </w:pPr>
      <w:r>
        <w:rPr>
          <w:b/>
          <w:bCs/>
          <w:color w:val="0F7B6C"/>
          <w:sz w:val="24"/>
          <w:szCs w:val="24"/>
        </w:rPr>
        <w:t xml:space="preserve">10.3  03 · Live System Demo  (0:05–0:14)</w:t>
      </w:r>
    </w:p>
    <w:p>
      <w:pPr>
        <w:spacing w:after="140" w:line="300"/>
      </w:pPr>
      <w:r>
        <w:rPr>
          <w:i/>
          <w:iCs/>
          <w:color w:val="666666"/>
          <w:sz w:val="18"/>
          <w:szCs w:val="18"/>
        </w:rPr>
        <w:t xml:space="preserve">Destura narrates throughout; Melindo operates the screen share and clicks through each screen (non-verbal).</w:t>
      </w:r>
    </w:p>
    <w:p>
      <w:pPr>
        <w:shd w:fill="F5F0E6" w:val="clear"/>
        <w:spacing w:after="140" w:before="40"/>
      </w:pPr>
      <w:r>
        <w:rPr>
          <w:i/>
          <w:iCs/>
          <w:color w:val="B7862C"/>
          <w:sz w:val="19"/>
          <w:szCs w:val="19"/>
        </w:rPr>
        <w:t xml:space="preserve">▶ Screen-share the aiPHeed dashboard now. Melindo operates the screen share; Destura narrates. Follow Section 5's demo table.</w:t>
      </w:r>
    </w:p>
    <w:p>
      <w:pPr>
        <w:spacing w:after="20" w:line="300"/>
      </w:pPr>
      <w:r>
        <w:rPr>
          <w:b/>
          <w:bCs/>
          <w:color w:val="1F3864"/>
          <w:sz w:val="21"/>
          <w:szCs w:val="21"/>
        </w:rPr>
        <w:t xml:space="preserve">Destura: </w:t>
      </w:r>
      <w:r>
        <w:rPr>
          <w:sz w:val="21"/>
          <w:szCs w:val="21"/>
        </w:rPr>
        <w:t xml:space="preserve">Sir, bago po kami magpatuloy, gusto lang po naming linawin: ang mga numero at forecast na makikita ninyo sa demo na ito ay mock o placeholder data pa lang po. Hindi pa po ganap na naka-integrate ang aming trained NLP at ML model sa live dashboard, kaya ang ipapakita po namin ngayon ay ang disenyo, workflow, at functionality ng system — hindi pa po ito ang aktwal na forecast. Kapag na-integrate na po ang model, doon na po namin ipapakita at ipapa-validate ang tunay na forecast.</w:t>
      </w:r>
    </w:p>
    <w:p>
      <w:pPr>
        <w:spacing w:after="160"/>
      </w:pPr>
      <w:r>
        <w:rPr>
          <w:i/>
          <w:iCs/>
          <w:color w:val="666666"/>
          <w:sz w:val="18"/>
          <w:szCs w:val="18"/>
        </w:rPr>
        <w:t xml:space="preserve">[Say this clearly before the demo starts — do not skip]</w:t>
      </w:r>
    </w:p>
    <w:p>
      <w:pPr>
        <w:spacing w:after="20" w:line="300"/>
      </w:pPr>
      <w:r>
        <w:rPr>
          <w:b/>
          <w:bCs/>
          <w:color w:val="1F3864"/>
          <w:sz w:val="21"/>
          <w:szCs w:val="21"/>
        </w:rPr>
        <w:t xml:space="preserve">Destura: </w:t>
      </w:r>
      <w:r>
        <w:rPr>
          <w:sz w:val="21"/>
          <w:szCs w:val="21"/>
        </w:rPr>
        <w:t xml:space="preserve">Sir, ito na po ang aiPHeed dashboard. Una po, ang landing page namin, kung saan makikita ang layunin ng system at ang research team.</w:t>
      </w:r>
    </w:p>
    <w:p>
      <w:pPr>
        <w:spacing w:after="160"/>
      </w:pPr>
      <w:r>
        <w:rPr>
          <w:i/>
          <w:iCs/>
          <w:color w:val="666666"/>
          <w:sz w:val="18"/>
          <w:szCs w:val="18"/>
        </w:rPr>
        <w:t xml:space="preserve">[Melindo shows landing page + About modal]</w:t>
      </w:r>
    </w:p>
    <w:p>
      <w:pPr>
        <w:spacing w:after="20" w:line="300"/>
      </w:pPr>
      <w:r>
        <w:rPr>
          <w:b/>
          <w:bCs/>
          <w:color w:val="1F3864"/>
          <w:sz w:val="21"/>
          <w:szCs w:val="21"/>
        </w:rPr>
        <w:t xml:space="preserve">Destura: </w:t>
      </w:r>
      <w:r>
        <w:rPr>
          <w:sz w:val="21"/>
          <w:szCs w:val="21"/>
        </w:rPr>
        <w:t xml:space="preserve">Papasok na po kami sa main dashboard.</w:t>
      </w:r>
    </w:p>
    <w:p>
      <w:pPr>
        <w:spacing w:after="160"/>
      </w:pPr>
      <w:r>
        <w:rPr>
          <w:i/>
          <w:iCs/>
          <w:color w:val="666666"/>
          <w:sz w:val="18"/>
          <w:szCs w:val="18"/>
        </w:rPr>
        <w:t xml:space="preserve">[Melindo logs in to the demo account]</w:t>
      </w:r>
    </w:p>
    <w:p>
      <w:pPr>
        <w:spacing w:after="20" w:line="300"/>
      </w:pPr>
      <w:r>
        <w:rPr>
          <w:b/>
          <w:bCs/>
          <w:color w:val="1F3864"/>
          <w:sz w:val="21"/>
          <w:szCs w:val="21"/>
        </w:rPr>
        <w:t xml:space="preserve">Destura: </w:t>
      </w:r>
      <w:r>
        <w:rPr>
          <w:sz w:val="21"/>
          <w:szCs w:val="21"/>
        </w:rPr>
        <w:t xml:space="preserve">Ito po ang geospatial map ng CALABARZON. Bawat kulay po ay HIGH o LOW risk kada quarter — sample data pa po ito para sa demo. Gamit itong time slider, makikita ang forecast history. Ito po ang tinatawag naming 'View Province Forecasts' na use case, na ipapakita namin nang mas detalyado sa susunod na segment.</w:t>
      </w:r>
    </w:p>
    <w:p>
      <w:pPr>
        <w:spacing w:after="160"/>
      </w:pPr>
      <w:r>
        <w:rPr>
          <w:i/>
          <w:iCs/>
          <w:color w:val="666666"/>
          <w:sz w:val="18"/>
          <w:szCs w:val="18"/>
        </w:rPr>
        <w:t xml:space="preserve">[Melindo hovers/clicks a province, moves the quarter slider]</w:t>
      </w:r>
    </w:p>
    <w:p>
      <w:pPr>
        <w:spacing w:after="20" w:line="300"/>
      </w:pPr>
      <w:r>
        <w:rPr>
          <w:b/>
          <w:bCs/>
          <w:color w:val="1F3864"/>
          <w:sz w:val="21"/>
          <w:szCs w:val="21"/>
        </w:rPr>
        <w:t xml:space="preserve">Destura: </w:t>
      </w:r>
      <w:r>
        <w:rPr>
          <w:sz w:val="21"/>
          <w:szCs w:val="21"/>
        </w:rPr>
        <w:t xml:space="preserve">Ito naman po ang municipal at city-level breakdown — ang 'Access Municipal/City Risk Rankings.' Lahat po ng 142 cities and municipalities, batay sa poverty incidence at population density — muli po, mock data pa rin ito hanggang sa ma-integrate ang model.</w:t>
      </w:r>
    </w:p>
    <w:p>
      <w:pPr>
        <w:spacing w:after="160"/>
      </w:pPr>
      <w:r>
        <w:rPr>
          <w:i/>
          <w:iCs/>
          <w:color w:val="666666"/>
          <w:sz w:val="18"/>
          <w:szCs w:val="18"/>
        </w:rPr>
        <w:t xml:space="preserve">[Melindo opens sidebar + rankings table]</w:t>
      </w:r>
    </w:p>
    <w:p>
      <w:pPr>
        <w:spacing w:after="20" w:line="300"/>
      </w:pPr>
      <w:r>
        <w:rPr>
          <w:b/>
          <w:bCs/>
          <w:color w:val="1F3864"/>
          <w:sz w:val="21"/>
          <w:szCs w:val="21"/>
        </w:rPr>
        <w:t xml:space="preserve">Destura: </w:t>
      </w:r>
      <w:r>
        <w:rPr>
          <w:sz w:val="21"/>
          <w:szCs w:val="21"/>
        </w:rPr>
        <w:t xml:space="preserve">Dito po sa kanan, ang 'View Feature Explanation' gamit ang SHAP — ang explainability layer na nabanggit namin kanina sa technical background. Ipinapakita nito kung anong indicators ang pinaka-nag-impluwensya sa bawat forecast. Preview lang din po ito ng disenyo — ang aktwal na SHAP values ay lalabas sa backend integration.</w:t>
      </w:r>
    </w:p>
    <w:p>
      <w:pPr>
        <w:spacing w:after="160"/>
      </w:pPr>
      <w:r>
        <w:rPr>
          <w:i/>
          <w:iCs/>
          <w:color w:val="666666"/>
          <w:sz w:val="18"/>
          <w:szCs w:val="18"/>
        </w:rPr>
        <w:t xml:space="preserve">[Melindo shows right analytics panel + SHAP explanation]</w:t>
      </w:r>
    </w:p>
    <w:p>
      <w:pPr>
        <w:spacing w:after="20" w:line="300"/>
      </w:pPr>
      <w:r>
        <w:rPr>
          <w:b/>
          <w:bCs/>
          <w:color w:val="1F3864"/>
          <w:sz w:val="21"/>
          <w:szCs w:val="21"/>
        </w:rPr>
        <w:t xml:space="preserve">Destura: </w:t>
      </w:r>
      <w:r>
        <w:rPr>
          <w:sz w:val="21"/>
          <w:szCs w:val="21"/>
        </w:rPr>
        <w:t xml:space="preserve">Meron din po kaming early-warning banner — ito po ang 'View Active Early-Warning Alerts' — at isang What-If Sandbox kung saan maaaring i-adjust ang isang indicator.</w:t>
      </w:r>
    </w:p>
    <w:p>
      <w:pPr>
        <w:spacing w:after="160"/>
      </w:pPr>
      <w:r>
        <w:rPr>
          <w:i/>
          <w:iCs/>
          <w:color w:val="666666"/>
          <w:sz w:val="18"/>
          <w:szCs w:val="18"/>
        </w:rPr>
        <w:t xml:space="preserve">[Melindo shows alert banner + what-if sandbox]</w:t>
      </w:r>
    </w:p>
    <w:p>
      <w:pPr>
        <w:spacing w:after="20" w:line="300"/>
      </w:pPr>
      <w:r>
        <w:rPr>
          <w:b/>
          <w:bCs/>
          <w:color w:val="1F3864"/>
          <w:sz w:val="21"/>
          <w:szCs w:val="21"/>
        </w:rPr>
        <w:t xml:space="preserve">Destura: </w:t>
      </w:r>
      <w:r>
        <w:rPr>
          <w:sz w:val="21"/>
          <w:szCs w:val="21"/>
        </w:rPr>
        <w:t xml:space="preserve">May one-click PDF report export din po kami na pwedeng ipasa sa LGU social welfare offices o sa DSWD Field Office IV-A.</w:t>
      </w:r>
    </w:p>
    <w:p>
      <w:pPr>
        <w:spacing w:after="160"/>
      </w:pPr>
      <w:r>
        <w:rPr>
          <w:i/>
          <w:iCs/>
          <w:color w:val="666666"/>
          <w:sz w:val="18"/>
          <w:szCs w:val="18"/>
        </w:rPr>
        <w:t xml:space="preserve">[Melindo triggers PDF export]</w:t>
      </w:r>
    </w:p>
    <w:p>
      <w:pPr>
        <w:spacing w:after="20" w:line="300"/>
      </w:pPr>
      <w:r>
        <w:rPr>
          <w:b/>
          <w:bCs/>
          <w:color w:val="1F3864"/>
          <w:sz w:val="21"/>
          <w:szCs w:val="21"/>
        </w:rPr>
        <w:t xml:space="preserve">Destura: </w:t>
      </w:r>
      <w:r>
        <w:rPr>
          <w:sz w:val="21"/>
          <w:szCs w:val="21"/>
        </w:rPr>
        <w:t xml:space="preserve">At dito sa Data page — muli, lahat po public data, wala pong kinukuhang impormasyon mula sa DOST. Tatalakayin pa po namin ito nang mas detalyado sa Segment 05.</w:t>
      </w:r>
    </w:p>
    <w:p>
      <w:pPr>
        <w:spacing w:after="160"/>
      </w:pPr>
      <w:r>
        <w:rPr>
          <w:i/>
          <w:iCs/>
          <w:color w:val="666666"/>
          <w:sz w:val="18"/>
          <w:szCs w:val="18"/>
        </w:rPr>
        <w:t xml:space="preserve">[Melindo shows Data page]</w:t>
      </w:r>
    </w:p>
    <w:p>
      <w:pPr>
        <w:spacing w:after="20" w:line="300"/>
      </w:pPr>
      <w:r>
        <w:rPr>
          <w:b/>
          <w:bCs/>
          <w:color w:val="1F3864"/>
          <w:sz w:val="21"/>
          <w:szCs w:val="21"/>
        </w:rPr>
        <w:t xml:space="preserve">Destura: </w:t>
      </w:r>
      <w:r>
        <w:rPr>
          <w:sz w:val="21"/>
          <w:szCs w:val="21"/>
        </w:rPr>
        <w:t xml:space="preserve">Panghuli po, ang admin review workflow — ito po ang 'Review Staged Forecast' at 'Confirm/dismiss alert' na use cases ng Evaluator. Walang forecast na direktang lumalabas sa publiko nang hindi dumadaan dito — ipapakita namin ang buong use case diagram nito sa susunod na bahagi.</w:t>
      </w:r>
    </w:p>
    <w:p>
      <w:pPr>
        <w:spacing w:after="160"/>
      </w:pPr>
      <w:r>
        <w:rPr>
          <w:i/>
          <w:iCs/>
          <w:color w:val="666666"/>
          <w:sz w:val="18"/>
          <w:szCs w:val="18"/>
        </w:rPr>
        <w:t xml:space="preserve">[Melindo shows Admin.tsx staged review screen]</w:t>
      </w:r>
    </w:p>
    <w:p>
      <w:pPr>
        <w:spacing w:after="160" w:line="300"/>
      </w:pPr>
      <w:r>
        <w:rPr>
          <w:b/>
          <w:bCs/>
          <w:color w:val="1F3864"/>
          <w:sz w:val="21"/>
          <w:szCs w:val="21"/>
        </w:rPr>
        <w:t xml:space="preserve">Destura: </w:t>
      </w:r>
      <w:r>
        <w:rPr>
          <w:sz w:val="21"/>
          <w:szCs w:val="21"/>
        </w:rPr>
        <w:t xml:space="preserve">Iyan po sa buod ang aiPHeed. Susunod, gusto naming ipakita nang mas detalyado ang inyong magiging papel bilang DOST Evaluator, pati na rin ang draft ng aming post-testing questionnaire — Esico, sa iyo na po.</w:t>
      </w:r>
    </w:p>
    <w:p>
      <w:pPr>
        <w:pStyle w:val="Heading2"/>
        <w:spacing w:after="120" w:before="260"/>
      </w:pPr>
      <w:r>
        <w:rPr>
          <w:b/>
          <w:bCs/>
          <w:color w:val="0F7B6C"/>
          <w:sz w:val="24"/>
          <w:szCs w:val="24"/>
        </w:rPr>
        <w:t xml:space="preserve">10.4  04 · DOST's Role &amp; the Post-Testing Questionnaire  (0:14–0:21)</w:t>
      </w:r>
    </w:p>
    <w:p>
      <w:pPr>
        <w:spacing w:after="140" w:line="300"/>
      </w:pPr>
      <w:r>
        <w:rPr>
          <w:i/>
          <w:iCs/>
          <w:color w:val="666666"/>
          <w:sz w:val="18"/>
          <w:szCs w:val="18"/>
        </w:rPr>
        <w:t xml:space="preserve">Esico leads.</w:t>
      </w:r>
    </w:p>
    <w:p>
      <w:pPr>
        <w:shd w:fill="F5F0E6" w:val="clear"/>
        <w:spacing w:after="140" w:before="40"/>
      </w:pPr>
      <w:r>
        <w:rPr>
          <w:i/>
          <w:iCs/>
          <w:color w:val="B7862C"/>
          <w:sz w:val="19"/>
          <w:szCs w:val="19"/>
        </w:rPr>
        <w:t xml:space="preserve">▶ Show the Use Case Diagram slide (Section 6).</w:t>
      </w:r>
    </w:p>
    <w:p>
      <w:pPr>
        <w:spacing w:after="160" w:line="300"/>
      </w:pPr>
      <w:r>
        <w:rPr>
          <w:b/>
          <w:bCs/>
          <w:color w:val="0F7B6C"/>
          <w:sz w:val="21"/>
          <w:szCs w:val="21"/>
        </w:rPr>
        <w:t xml:space="preserve">Esico: </w:t>
      </w:r>
      <w:r>
        <w:rPr>
          <w:sz w:val="21"/>
          <w:szCs w:val="21"/>
        </w:rPr>
        <w:t xml:space="preserve">Ngayon na po nakita niyo kung paano gumagana ang system sa demo, ipapakita po namin kung paano ito nakaugnay sa inyong magiging tungkulin. Ito po ang use case diagram ng aiPHeed, direkta mula sa aming manuscript. May apat po itong actors: System Administrator, DOST Region IV-A Evaluator, Automated Scheduler, at General Public.</w:t>
      </w:r>
    </w:p>
    <w:p>
      <w:pPr>
        <w:spacing w:after="160" w:line="300"/>
      </w:pPr>
      <w:r>
        <w:rPr>
          <w:b/>
          <w:bCs/>
          <w:color w:val="0F7B6C"/>
          <w:sz w:val="21"/>
          <w:szCs w:val="21"/>
        </w:rPr>
        <w:t xml:space="preserve">Esico: </w:t>
      </w:r>
      <w:r>
        <w:rPr>
          <w:sz w:val="21"/>
          <w:szCs w:val="21"/>
        </w:rPr>
        <w:t xml:space="preserve">Ang DOST Region IV-A Evaluator po ang tinatawag naming 'main validating authority' ng buong program. Kayo po, o ang inyong itinalagang staff, ang makakakita ng province-level risk probabilities, ng municipal at city risk rankings, ng SHAP explanations kung bakit naging ganoon ang isang forecast, ng mga early-warning alerts na dumaan na sa admin review, at ng buong forecast history.</w:t>
      </w:r>
    </w:p>
    <w:p>
      <w:pPr>
        <w:spacing w:after="160" w:line="300"/>
      </w:pPr>
      <w:r>
        <w:rPr>
          <w:b/>
          <w:bCs/>
          <w:color w:val="0F7B6C"/>
          <w:sz w:val="21"/>
          <w:szCs w:val="21"/>
        </w:rPr>
        <w:t xml:space="preserve">Esico: </w:t>
      </w:r>
      <w:r>
        <w:rPr>
          <w:sz w:val="21"/>
          <w:szCs w:val="21"/>
        </w:rPr>
        <w:t xml:space="preserve">Ibig sabihin po nito, hindi lang kayo tatanggap ng report matapos ang lahat — kung magiging pormal na validation partner ang DOST Region IV-A, magkakaroon po kayo ng aktwal na papel sa loob mismo ng system, bago pa man ma-publish ang isang forecast sa publiko.</w:t>
      </w:r>
    </w:p>
    <w:p>
      <w:pPr>
        <w:spacing w:after="160" w:line="300"/>
      </w:pPr>
      <w:r>
        <w:rPr>
          <w:b/>
          <w:bCs/>
          <w:color w:val="0F7B6C"/>
          <w:sz w:val="21"/>
          <w:szCs w:val="21"/>
        </w:rPr>
        <w:t xml:space="preserve">Esico: </w:t>
      </w:r>
      <w:r>
        <w:rPr>
          <w:sz w:val="21"/>
          <w:szCs w:val="21"/>
        </w:rPr>
        <w:t xml:space="preserve">Kaya po ito ang una naming hihilingin: pormal na commitment ng DOST Region IV-A na maging validation partner at client ng study, consistent po sa mandato ng DOST Administrative Order No. 002, series of 1989.</w:t>
      </w:r>
    </w:p>
    <w:p>
      <w:pPr>
        <w:shd w:fill="F5F0E6" w:val="clear"/>
        <w:spacing w:after="140" w:before="40"/>
      </w:pPr>
      <w:r>
        <w:rPr>
          <w:i/>
          <w:iCs/>
          <w:color w:val="B7862C"/>
          <w:sz w:val="19"/>
          <w:szCs w:val="19"/>
        </w:rPr>
        <w:t xml:space="preserve">▶ Transition to the Post-Testing Questionnaire draft (Section 7). Share the questionnaire document or the summary table on screen.</w:t>
      </w:r>
    </w:p>
    <w:p>
      <w:pPr>
        <w:spacing w:after="160" w:line="300"/>
      </w:pPr>
      <w:r>
        <w:rPr>
          <w:b/>
          <w:bCs/>
          <w:color w:val="0F7B6C"/>
          <w:sz w:val="21"/>
          <w:szCs w:val="21"/>
        </w:rPr>
        <w:t xml:space="preserve">Esico: </w:t>
      </w:r>
      <w:r>
        <w:rPr>
          <w:sz w:val="21"/>
          <w:szCs w:val="21"/>
        </w:rPr>
        <w:t xml:space="preserve">Kaugnay po nito, ipinadala at ipapakita rin namin ngayon ang draft ng aming post-testing questionnaire. Pito po itong seksyon — mula sa consent at profile, hanggang sa forecast accuracy, functionality, usability base sa ISO/IEC 25010, alignment sa DOST operations, at open-ended questions.</w:t>
      </w:r>
    </w:p>
    <w:p>
      <w:pPr>
        <w:spacing w:after="160" w:line="300"/>
      </w:pPr>
      <w:r>
        <w:rPr>
          <w:b/>
          <w:bCs/>
          <w:color w:val="0F7B6C"/>
          <w:sz w:val="21"/>
          <w:szCs w:val="21"/>
        </w:rPr>
        <w:t xml:space="preserve">Esico: </w:t>
      </w:r>
      <w:r>
        <w:rPr>
          <w:sz w:val="21"/>
          <w:szCs w:val="21"/>
        </w:rPr>
        <w:t xml:space="preserve">Gusto po naming basahin niyo ito pagkatapos ng meeting na ito at markahan kung may mga tanong na hindi malinaw, hindi applicable, o kulang. Bukas din po kami kung gusto niyong gamitin ang isang mas kilalang instrument tulad ng System Usability Scale kapalit o kasama ng aming usability section.</w:t>
      </w:r>
    </w:p>
    <w:p>
      <w:pPr>
        <w:spacing w:after="160" w:line="300"/>
      </w:pPr>
      <w:r>
        <w:rPr>
          <w:b/>
          <w:bCs/>
          <w:color w:val="0F7B6C"/>
          <w:sz w:val="21"/>
          <w:szCs w:val="21"/>
        </w:rPr>
        <w:t xml:space="preserve">Esico: </w:t>
      </w:r>
      <w:r>
        <w:rPr>
          <w:sz w:val="21"/>
          <w:szCs w:val="21"/>
        </w:rPr>
        <w:t xml:space="preserve">Ito na po ang pangalawa naming hihilingin: kailangan namin ng mga 30 katao mula sa DOST Region IV-A — halimbawa mula sa Technical Operations, ICT/GIS support, at S&amp;T project evaluation — na sasagot sa huling bersyon ng form pagkatapos ng demo o pilot period. Walang atrasadong pre-survey — itong meeting na ito na po mismo ang aming pre-testing interview.</w:t>
      </w:r>
    </w:p>
    <w:p>
      <w:pPr>
        <w:pStyle w:val="Heading2"/>
        <w:spacing w:after="120" w:before="260"/>
      </w:pPr>
      <w:r>
        <w:rPr>
          <w:b/>
          <w:bCs/>
          <w:color w:val="0F7B6C"/>
          <w:sz w:val="24"/>
          <w:szCs w:val="24"/>
        </w:rPr>
        <w:t xml:space="preserve">10.5  05 · Data Walkthrough — Validation &amp; Annotation  (0:21–0:25)</w:t>
      </w:r>
    </w:p>
    <w:p>
      <w:pPr>
        <w:spacing w:after="140" w:line="300"/>
      </w:pPr>
      <w:r>
        <w:rPr>
          <w:i/>
          <w:iCs/>
          <w:color w:val="666666"/>
          <w:sz w:val="18"/>
          <w:szCs w:val="18"/>
        </w:rPr>
        <w:t xml:space="preserve">Melindo leads.</w:t>
      </w:r>
    </w:p>
    <w:p>
      <w:pPr>
        <w:shd w:fill="F5F0E6" w:val="clear"/>
        <w:spacing w:after="140" w:before="40"/>
      </w:pPr>
      <w:r>
        <w:rPr>
          <w:i/>
          <w:iCs/>
          <w:color w:val="B7862C"/>
          <w:sz w:val="19"/>
          <w:szCs w:val="19"/>
        </w:rPr>
        <w:t xml:space="preserve">▶ Show the Data &amp; Annotation slide (Section 8).</w:t>
      </w:r>
    </w:p>
    <w:p>
      <w:pPr>
        <w:spacing w:after="160" w:line="300"/>
      </w:pPr>
      <w:r>
        <w:rPr>
          <w:b/>
          <w:bCs/>
          <w:color w:val="B7862C"/>
          <w:sz w:val="21"/>
          <w:szCs w:val="21"/>
        </w:rPr>
        <w:t xml:space="preserve">Melindo: </w:t>
      </w:r>
      <w:r>
        <w:rPr>
          <w:sz w:val="21"/>
          <w:szCs w:val="21"/>
        </w:rPr>
        <w:t xml:space="preserve">Sir, dalawang klase po ng datos ang ginagamit namin. Una, 17,791 Filipino-English news articles mula 2020 hanggang 2025 — RSS feeds, Google News, GDELT. Pangalawa, mga 2,732 government datasets mula sa PSA, BSP, DOE, PAGASA, PhilRice, at SWS.</w:t>
      </w:r>
    </w:p>
    <w:p>
      <w:pPr>
        <w:spacing w:after="160" w:line="300"/>
      </w:pPr>
      <w:r>
        <w:rPr>
          <w:b/>
          <w:bCs/>
          <w:color w:val="B7862C"/>
          <w:sz w:val="21"/>
          <w:szCs w:val="21"/>
        </w:rPr>
        <w:t xml:space="preserve">Melindo: </w:t>
      </w:r>
      <w:r>
        <w:rPr>
          <w:sz w:val="21"/>
          <w:szCs w:val="21"/>
        </w:rPr>
        <w:t xml:space="preserve">Muli po naming idiin: publicly available lahat ito. Wala pong Listahanan, CBMS, o internal DOST records na ginagamit o kinukuha namin.</w:t>
      </w:r>
    </w:p>
    <w:p>
      <w:pPr>
        <w:spacing w:after="160" w:line="300"/>
      </w:pPr>
      <w:r>
        <w:rPr>
          <w:b/>
          <w:bCs/>
          <w:color w:val="B7862C"/>
          <w:sz w:val="21"/>
          <w:szCs w:val="21"/>
        </w:rPr>
        <w:t xml:space="preserve">Melindo: </w:t>
      </w:r>
      <w:r>
        <w:rPr>
          <w:sz w:val="21"/>
          <w:szCs w:val="21"/>
        </w:rPr>
        <w:t xml:space="preserve">Ito naman po ang halimbawa kung ano ang ibig sabihin ng 'pag-verify o pag-label' ng aming training data. Halimbawa po itong artikulo: 'Tumaas ang presyo ng bigas sa Batangas dahil sa pagkasira ng ani mula sa bagyong Kristine.' Ini-classify po namin ito sa limang trigger categories — market issues, climate events, employment disruptions, OFW remittances, at fish kill incidents. Sa halimbawang ito, dapat po ma-tag ito bilang market issues at climate events.</w:t>
      </w:r>
    </w:p>
    <w:p>
      <w:pPr>
        <w:spacing w:after="160" w:line="300"/>
      </w:pPr>
      <w:r>
        <w:rPr>
          <w:b/>
          <w:bCs/>
          <w:color w:val="B7862C"/>
          <w:sz w:val="21"/>
          <w:szCs w:val="21"/>
        </w:rPr>
        <w:t xml:space="preserve">Melindo: </w:t>
      </w:r>
      <w:r>
        <w:rPr>
          <w:sz w:val="21"/>
          <w:szCs w:val="21"/>
        </w:rPr>
        <w:t xml:space="preserve">Ang hihingin po naming tulong: mayroon o higit pang staff na may background sa food security o social welfare data na magco-confirm o magco-correct ng mga tag na ito sa isang sample lang ng aming articles — hindi po kailangang lahat ng 17,791. Flexible po kami sa format — spreadsheet man o simpleng annotation sheet.</w:t>
      </w:r>
    </w:p>
    <w:p>
      <w:pPr>
        <w:spacing w:after="160" w:line="300"/>
      </w:pPr>
      <w:r>
        <w:rPr>
          <w:b/>
          <w:bCs/>
          <w:color w:val="B7862C"/>
          <w:sz w:val="21"/>
          <w:szCs w:val="21"/>
        </w:rPr>
        <w:t xml:space="preserve">Melindo: </w:t>
      </w:r>
      <w:r>
        <w:rPr>
          <w:sz w:val="21"/>
          <w:szCs w:val="21"/>
        </w:rPr>
        <w:t xml:space="preserve">Ito na po ang pangatlo naming hihilingin: isa o higit pang expert validator mula sa DOST na tutulong mag-verify ng bahagi ng aming training data, para lalong maging kredibol ang aming model. Salamat, at may ilan pa kaming tanong sa inyo bago kami magtapos — Destura, sa iyo na po.</w:t>
      </w:r>
    </w:p>
    <w:p>
      <w:pPr>
        <w:pStyle w:val="Heading2"/>
        <w:spacing w:after="120" w:before="260"/>
      </w:pPr>
      <w:r>
        <w:rPr>
          <w:b/>
          <w:bCs/>
          <w:color w:val="0F7B6C"/>
          <w:sz w:val="24"/>
          <w:szCs w:val="24"/>
        </w:rPr>
        <w:t xml:space="preserve">10.6  06 · More Questions  (0:25–0:30)</w:t>
      </w:r>
    </w:p>
    <w:p>
      <w:pPr>
        <w:spacing w:after="140" w:line="300"/>
      </w:pPr>
      <w:r>
        <w:rPr>
          <w:i/>
          <w:iCs/>
          <w:color w:val="666666"/>
          <w:sz w:val="18"/>
          <w:szCs w:val="18"/>
        </w:rPr>
        <w:t xml:space="preserve">Destura leads (Ending) — sole speaker for this segment.</w:t>
      </w:r>
    </w:p>
    <w:p>
      <w:pPr>
        <w:shd w:fill="F5F0E6" w:val="clear"/>
        <w:spacing w:after="140" w:before="40"/>
      </w:pPr>
      <w:r>
        <w:rPr>
          <w:i/>
          <w:iCs/>
          <w:color w:val="B7862C"/>
          <w:sz w:val="19"/>
          <w:szCs w:val="19"/>
        </w:rPr>
        <w:t xml:space="preserve">▶ This segment replaces the pre-testing questionnaire, then opens the floor for DOST. See Section 9 for the full pre-interview list; ask only 4 of the highest-priority ones and let DOST's answers lead.</w:t>
      </w:r>
    </w:p>
    <w:p>
      <w:pPr>
        <w:spacing w:after="160" w:line="300"/>
      </w:pPr>
      <w:r>
        <w:rPr>
          <w:b/>
          <w:bCs/>
          <w:color w:val="1F3864"/>
          <w:sz w:val="21"/>
          <w:szCs w:val="21"/>
        </w:rPr>
        <w:t xml:space="preserve">Destura: </w:t>
      </w:r>
      <w:r>
        <w:rPr>
          <w:sz w:val="21"/>
          <w:szCs w:val="21"/>
        </w:rPr>
        <w:t xml:space="preserve">Sir, dahil itong meeting na po natin ngayon ang aming kapalit sa isang pre-survey, gusto po naming marinig ng diretso mula sa inyo ang ilang bagay, at pagkatapos, bukas na po kami sa inyong mga tanong bago kami magtapos.</w:t>
      </w:r>
    </w:p>
    <w:p>
      <w:pPr>
        <w:spacing w:after="160" w:line="300"/>
      </w:pPr>
      <w:r>
        <w:rPr>
          <w:b/>
          <w:bCs/>
          <w:color w:val="1F3864"/>
          <w:sz w:val="21"/>
          <w:szCs w:val="21"/>
        </w:rPr>
        <w:t xml:space="preserve">Destura: </w:t>
      </w:r>
      <w:r>
        <w:rPr>
          <w:sz w:val="21"/>
          <w:szCs w:val="21"/>
        </w:rPr>
        <w:t xml:space="preserve">Una po, ano po sa kasalukuyan ang ginagamit ninyong tools, reports, o proseso para mag-monitor ng food insecurity o kaugnay na panganib dito sa CALABARZON?</w:t>
      </w:r>
    </w:p>
    <w:p>
      <w:pPr>
        <w:spacing w:after="160" w:line="300"/>
      </w:pPr>
      <w:r>
        <w:rPr>
          <w:b/>
          <w:bCs/>
          <w:color w:val="1F3864"/>
          <w:sz w:val="21"/>
          <w:szCs w:val="21"/>
        </w:rPr>
        <w:t xml:space="preserve">Destura: </w:t>
      </w:r>
      <w:r>
        <w:rPr>
          <w:sz w:val="21"/>
          <w:szCs w:val="21"/>
        </w:rPr>
        <w:t xml:space="preserve">Pangalawa po, batay sa nakita ninyo sa demo, anong mga feature po ang talagang magiging kapaki-pakinabang sa inyong day-to-day na trabaho?</w:t>
      </w:r>
    </w:p>
    <w:p>
      <w:pPr>
        <w:spacing w:after="160" w:line="300"/>
      </w:pPr>
      <w:r>
        <w:rPr>
          <w:b/>
          <w:bCs/>
          <w:color w:val="1F3864"/>
          <w:sz w:val="21"/>
          <w:szCs w:val="21"/>
        </w:rPr>
        <w:t xml:space="preserve">Destura: </w:t>
      </w:r>
      <w:r>
        <w:rPr>
          <w:sz w:val="21"/>
          <w:szCs w:val="21"/>
        </w:rPr>
        <w:t xml:space="preserve">Pangatlo po, may nakikita po ba kayong tunay na pangangailangan para sa isang tool tulad nito, kahit meron nang Heat Map at iba pang existing na datos?</w:t>
      </w:r>
    </w:p>
    <w:p>
      <w:pPr>
        <w:spacing w:after="160" w:line="300"/>
      </w:pPr>
      <w:r>
        <w:rPr>
          <w:b/>
          <w:bCs/>
          <w:color w:val="1F3864"/>
          <w:sz w:val="21"/>
          <w:szCs w:val="21"/>
        </w:rPr>
        <w:t xml:space="preserve">Destura: </w:t>
      </w:r>
      <w:r>
        <w:rPr>
          <w:sz w:val="21"/>
          <w:szCs w:val="21"/>
        </w:rPr>
        <w:t xml:space="preserve">At panghuli po, sino po kaya, realistically, ang magiging araw-araw na gagamit ng system na ito kung ito ay ma-adopt — partikular bang dibisyon, o ilan?</w:t>
      </w:r>
    </w:p>
    <w:p>
      <w:pPr>
        <w:shd w:fill="F5F0E6" w:val="clear"/>
        <w:spacing w:after="140" w:before="40"/>
      </w:pPr>
      <w:r>
        <w:rPr>
          <w:i/>
          <w:iCs/>
          <w:color w:val="B7862C"/>
          <w:sz w:val="19"/>
          <w:szCs w:val="19"/>
        </w:rPr>
        <w:t xml:space="preserve">▶ Pause here for the ARD's answers and feedback. Take notes on features requested, current tools mentioned, and any concerns raised — this is the core content a pre-survey would have captured.</w:t>
      </w:r>
    </w:p>
    <w:p>
      <w:pPr>
        <w:spacing w:after="160" w:line="300"/>
      </w:pPr>
      <w:r>
        <w:rPr>
          <w:b/>
          <w:bCs/>
          <w:color w:val="1F3864"/>
          <w:sz w:val="21"/>
          <w:szCs w:val="21"/>
        </w:rPr>
        <w:t xml:space="preserve">Destura: </w:t>
      </w:r>
      <w:r>
        <w:rPr>
          <w:sz w:val="21"/>
          <w:szCs w:val="21"/>
        </w:rPr>
        <w:t xml:space="preserve">Bukas po kami ngayon sa inyong mga tanong, karagdagang punto, o paglilinaw, sir.</w:t>
      </w:r>
    </w:p>
    <w:p>
      <w:pPr>
        <w:shd w:fill="F5F0E6" w:val="clear"/>
        <w:spacing w:after="140" w:before="40"/>
      </w:pPr>
      <w:r>
        <w:rPr>
          <w:i/>
          <w:iCs/>
          <w:color w:val="B7862C"/>
          <w:sz w:val="19"/>
          <w:szCs w:val="19"/>
        </w:rPr>
        <w:t xml:space="preserve">▶ Pause for DOST's own questions before closing.</w:t>
      </w:r>
    </w:p>
    <w:p>
      <w:pPr>
        <w:spacing w:after="160" w:line="300"/>
      </w:pPr>
      <w:r>
        <w:rPr>
          <w:b/>
          <w:bCs/>
          <w:color w:val="1F3864"/>
          <w:sz w:val="21"/>
          <w:szCs w:val="21"/>
        </w:rPr>
        <w:t xml:space="preserve">Destura: </w:t>
      </w:r>
      <w:r>
        <w:rPr>
          <w:sz w:val="21"/>
          <w:szCs w:val="21"/>
        </w:rPr>
        <w:t xml:space="preserve">Sir, maraming salamat po sa oras at sa mga naibahaging puna ninyo. Susunod po, ipapadala namin ang huling bersyon ng post-testing form matapos ang inyong review sa draft, at kokoordinate din kami tungkol sa expert validator para sa aming dataset — susundan ito ng follow-up email na naglalaman ng buod ng meeting at aming contact details.</w:t>
      </w:r>
    </w:p>
    <w:p>
      <w:pPr>
        <w:spacing w:after="160" w:line="300"/>
      </w:pPr>
      <w:r>
        <w:rPr>
          <w:b/>
          <w:bCs/>
          <w:color w:val="1F3864"/>
          <w:sz w:val="21"/>
          <w:szCs w:val="21"/>
        </w:rPr>
        <w:t xml:space="preserve">Destura: </w:t>
      </w:r>
      <w:r>
        <w:rPr>
          <w:sz w:val="21"/>
          <w:szCs w:val="21"/>
        </w:rPr>
        <w:t xml:space="preserve">Muli po, maraming salamat sa oras at suporta ninyo, sir. Sana po ay maging matagumpay ang partnership na ito para sa mas mahusay na pag-monitor ng food security dito sa Region IV-A. Salamat po ulit, sir. Magandang araw po!</w:t>
      </w:r>
    </w:p>
    <w:p>
      <w:r>
        <w:br w:type="page"/>
      </w:r>
    </w:p>
    <w:p>
      <w:pPr>
        <w:pStyle w:val="Heading1"/>
        <w:pBdr>
          <w:bottom w:val="single" w:color="1F3864" w:sz="6" w:space="4"/>
        </w:pBdr>
        <w:spacing w:after="160" w:before="360"/>
      </w:pPr>
      <w:r>
        <w:rPr>
          <w:b/>
          <w:bCs/>
          <w:color w:val="1F3864"/>
          <w:sz w:val="28"/>
          <w:szCs w:val="28"/>
        </w:rPr>
        <w:t xml:space="preserve">11. Quick-Reference Cheat Sheet</w:t>
      </w:r>
    </w:p>
    <w:p>
      <w:pPr>
        <w:spacing w:after="140" w:line="300"/>
      </w:pPr>
      <w:r>
        <w:rPr>
          <w:sz w:val="21"/>
          <w:szCs w:val="21"/>
        </w:rPr>
        <w:t xml:space="preserve">For fielding unscripted technical questions from the ARD or his staff, in any segment.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Full title</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aiPHeed: A Geospatial Food Insecurity Forecasting System for DOST Region IV-A Using NLP and Machine Learning</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Team</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Princess Gwenn A. Destura, Christina M. Esico, Angel Vhea P. Melindo — BS Computer Science (Intelligence Systems), De La Salle University–Dasmariñas</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Adviser</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Dr. Rolando B. Barrameda</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Coverage</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All 5 CALABARZON provinces (Cavite, Laguna, Batangas, Rizal, Quezon) and all 142 cities/municipalities</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Forecast cadence</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Quarterly, at the furthest lead time proven reliable through walk-forward cross-validation</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Core technique</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Zero-shot Filipino-English NLP (XLM-RoBERTa) to build a Food Stress Sentiment Index from news, fused with government indicators, classified by a LightGBM model, explained with SHAP</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News corpus</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17,791 Filipino-English articles (2020–2025) from RSS feeds, Google News, and GDELT</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Government data</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~2,732 datasets from PSA, BSP, DOE, PAGASA, PhilRice Ricelytics, PSA NRP, and SWS</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Ground-truth label</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Composite of SWS quarterly hunger prevalence and PSA food CPI deviation, thresholded at the median (a pragmatic proxy — no official province-quarter food-insecurity label exists in the Philippines)</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Validation anchors</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DOST-FNRI Expanded National Nutrition Survey (ENNS) 2019 and 2023 regional estimates</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Output</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Quarterly HIGH/LOW risk forecasts and rankings, SHAP explanations, and early-warning alerts on a public web dashboard</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Human oversight</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Every forecast is staged for mandatory admin/DOST review before publication — aiPHeed flags potential risk, it does not make official classifications or policy decisions</w:t>
            </w:r>
          </w:p>
        </w:tc>
      </w:tr>
      <w:tr>
        <w:tc>
          <w:tcPr>
            <w:tcW w:type="dxa" w:w="2600"/>
            <w:shd w:fill="FFFFFF" w:val="clear"/>
            <w:tcMar>
              <w:top w:type="dxa" w:w="80"/>
              <w:left w:type="dxa" w:w="100"/>
              <w:bottom w:type="dxa" w:w="80"/>
              <w:right w:type="dxa" w:w="100"/>
            </w:tcMar>
            <w:vAlign w:val="center"/>
          </w:tcPr>
          <w:p>
            <w:pPr>
              <w:jc w:val="left"/>
            </w:pPr>
            <w:r>
              <w:rPr>
                <w:b/>
                <w:bCs/>
                <w:color w:val="1F3864"/>
                <w:sz w:val="20"/>
                <w:szCs w:val="20"/>
              </w:rPr>
              <w:t xml:space="preserve">Evaluation plan</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50 respondents: 30 DOST Region IV-A technical/project staff + 20 general public, using an ISO/IEC 25010-based post-testing questionnaire (accuracy, functionality, usability)</w:t>
            </w:r>
          </w:p>
        </w:tc>
      </w:tr>
      <w:tr>
        <w:tc>
          <w:tcPr>
            <w:tcW w:type="dxa" w:w="2600"/>
            <w:shd w:fill="EDF2F7" w:val="clear"/>
            <w:tcMar>
              <w:top w:type="dxa" w:w="80"/>
              <w:left w:type="dxa" w:w="100"/>
              <w:bottom w:type="dxa" w:w="80"/>
              <w:right w:type="dxa" w:w="100"/>
            </w:tcMar>
            <w:vAlign w:val="center"/>
          </w:tcPr>
          <w:p>
            <w:pPr>
              <w:jc w:val="left"/>
            </w:pPr>
            <w:r>
              <w:rPr>
                <w:b/>
                <w:bCs/>
                <w:color w:val="1F3864"/>
                <w:sz w:val="20"/>
                <w:szCs w:val="20"/>
              </w:rPr>
              <w:t xml:space="preserve">Data privacy</w:t>
            </w:r>
          </w:p>
        </w:tc>
        <w:tc>
          <w:tcPr>
            <w:tcW w:type="dxa" w:w="6700"/>
            <w:shd w:fill="EDF2F7" w:val="clear"/>
            <w:tcMar>
              <w:top w:type="dxa" w:w="80"/>
              <w:left w:type="dxa" w:w="100"/>
              <w:bottom w:type="dxa" w:w="80"/>
              <w:right w:type="dxa" w:w="100"/>
            </w:tcMar>
            <w:vAlign w:val="center"/>
          </w:tcPr>
          <w:p>
            <w:pPr>
              <w:jc w:val="left"/>
            </w:pPr>
            <w:r>
              <w:rPr>
                <w:b w:val="false"/>
                <w:bCs w:val="false"/>
                <w:color w:val="222222"/>
                <w:sz w:val="20"/>
                <w:szCs w:val="20"/>
              </w:rPr>
              <w:t xml:space="preserve">Compliant with RA 10173 (Data Privacy Act); informed consent, confidentiality, and voluntary participation for all respondents</w:t>
            </w:r>
          </w:p>
        </w:tc>
      </w:tr>
    </w:tbl>
    <w:p>
      <w:pPr>
        <w:spacing w:after="80" w:before="200"/>
      </w:pPr>
      <w:r>
        <w:rPr>
          <w:b/>
          <w:bCs/>
          <w:color w:val="222222"/>
          <w:sz w:val="22"/>
          <w:szCs w:val="22"/>
        </w:rPr>
        <w:t xml:space="preserve">If asked why not more real-time / satellite data:</w:t>
      </w:r>
    </w:p>
    <w:p>
      <w:pPr>
        <w:spacing w:after="140" w:line="300"/>
      </w:pPr>
      <w:r>
        <w:rPr>
          <w:sz w:val="21"/>
          <w:szCs w:val="21"/>
        </w:rPr>
        <w:t xml:space="preserve">The study relies entirely on publicly available, permanently accessible data. Real-time field reports and satellite-derived indicators require specialized geospatial pipelines outside this study's scope — noted as a limitation and a direction for future work.</w:t>
      </w:r>
    </w:p>
    <w:p>
      <w:pPr>
        <w:spacing w:after="80" w:before="200"/>
      </w:pPr>
      <w:r>
        <w:rPr>
          <w:b/>
          <w:bCs/>
          <w:color w:val="222222"/>
          <w:sz w:val="22"/>
          <w:szCs w:val="22"/>
        </w:rPr>
        <w:t xml:space="preserve">If asked about data-source disagreement:</w:t>
      </w:r>
    </w:p>
    <w:p>
      <w:pPr>
        <w:spacing w:after="140" w:line="300"/>
      </w:pPr>
      <w:r>
        <w:rPr>
          <w:sz w:val="21"/>
          <w:szCs w:val="21"/>
        </w:rPr>
        <w:t xml:space="preserve">The SWS hunger signal and PSA food-CPI signal agree in only 45% of province-quarter observations — expected, since one is a demand-side (household) measure and the other a supply-side (price) measure. Both are retained on theoretical grounds consistent with FAO's multidimensional definition of food security, and the CPI-only label serves as a robustness check.</w:t>
      </w:r>
    </w:p>
    <w:p>
      <w:pPr>
        <w:spacing w:after="80" w:before="200"/>
      </w:pPr>
      <w:r>
        <w:rPr>
          <w:b/>
          <w:bCs/>
          <w:color w:val="222222"/>
          <w:sz w:val="22"/>
          <w:szCs w:val="22"/>
        </w:rPr>
        <w:t xml:space="preserve">If asked whether aiPHeed replaces official DOST/PSA assessments:</w:t>
      </w:r>
    </w:p>
    <w:p>
      <w:pPr>
        <w:spacing w:after="140" w:line="300"/>
      </w:pPr>
      <w:r>
        <w:rPr>
          <w:sz w:val="21"/>
          <w:szCs w:val="21"/>
        </w:rPr>
        <w:t xml:space="preserve">No. aiPHeed is explicitly designed as a decision-support and early-warning tool. Its outputs are potential risk indicators only and are not official food-insecurity classifications or policy recommendations — every forecast requires human (DOST) review before publication.</w:t>
      </w:r>
    </w:p>
    <w:p>
      <w:pPr>
        <w:spacing w:after="80" w:before="200"/>
      </w:pPr>
      <w:r>
        <w:rPr>
          <w:b/>
          <w:bCs/>
          <w:color w:val="222222"/>
          <w:sz w:val="22"/>
          <w:szCs w:val="22"/>
        </w:rPr>
        <w:t xml:space="preserve">If asked whether the numbers shown today are real:</w:t>
      </w:r>
    </w:p>
    <w:p>
      <w:pPr>
        <w:spacing w:after="140" w:line="300"/>
      </w:pPr>
      <w:r>
        <w:rPr>
          <w:sz w:val="21"/>
          <w:szCs w:val="21"/>
        </w:rPr>
        <w:t xml:space="preserve">No — the live demo currently displays mock/placeholder data. The dashboard (React/FastAPI) and the ML pipeline (NLP scoring, LightGBM, SHAP) are built separately; backend integration connecting real model output to the dashboard is still in progress. The underlying training data (17,791 articles, ~2,732 government datasets) is real and already collected — what's not yet live is the model's predictions feeding into this specific UI. Once integration is complete, this is also when the post-testing questionnaire's forecast-accuracy items (Section 2) become meaningful to administer.</w:t>
      </w:r>
    </w:p>
    <w:p>
      <w:pPr>
        <w:pStyle w:val="Heading1"/>
        <w:pBdr>
          <w:bottom w:val="single" w:color="1F3864" w:sz="6" w:space="4"/>
        </w:pBdr>
        <w:spacing w:after="160" w:before="360"/>
      </w:pPr>
      <w:r>
        <w:rPr>
          <w:b/>
          <w:bCs/>
          <w:color w:val="1F3864"/>
          <w:sz w:val="28"/>
          <w:szCs w:val="28"/>
        </w:rPr>
        <w:t xml:space="preserve">12. Follow-Up Question Bank (for email, if time runs out)</w:t>
      </w:r>
    </w:p>
    <w:p>
      <w:pPr>
        <w:spacing w:after="140" w:line="300"/>
      </w:pPr>
      <w:r>
        <w:rPr>
          <w:sz w:val="21"/>
          <w:szCs w:val="21"/>
        </w:rPr>
        <w:t xml:space="preserve">Segment 06 covers the highest-priority questions live. These are additional questions worth asking in the follow-up email or a longer future session.</w:t>
      </w:r>
    </w:p>
    <w:p>
      <w:pPr>
        <w:pStyle w:val="Heading2"/>
        <w:spacing w:after="120" w:before="260"/>
      </w:pPr>
      <w:r>
        <w:rPr>
          <w:b/>
          <w:bCs/>
          <w:color w:val="0F7B6C"/>
          <w:sz w:val="24"/>
          <w:szCs w:val="24"/>
        </w:rPr>
        <w:t xml:space="preserve">A. Validation partnership &amp; process</w:t>
      </w:r>
    </w:p>
    <w:p>
      <w:pPr>
        <w:pStyle w:val="ListParagraph"/>
        <w:numPr>
          <w:ilvl w:val="0"/>
          <w:numId w:val="2"/>
        </w:numPr>
        <w:spacing w:after="90" w:line="290"/>
      </w:pPr>
      <w:r>
        <w:rPr>
          <w:sz w:val="21"/>
          <w:szCs w:val="21"/>
        </w:rPr>
        <w:t xml:space="preserve">Anong proseso o requirements po ang kailangan naming sundin para pormal na ma-endorso ang DOST Region IV-A bilang validation partner (e.g., MOA, endorsement letter)?</w:t>
      </w:r>
    </w:p>
    <w:p>
      <w:pPr>
        <w:pStyle w:val="ListParagraph"/>
        <w:numPr>
          <w:ilvl w:val="0"/>
          <w:numId w:val="2"/>
        </w:numPr>
        <w:spacing w:after="90" w:line="290"/>
      </w:pPr>
      <w:r>
        <w:rPr>
          <w:sz w:val="21"/>
          <w:szCs w:val="21"/>
        </w:rPr>
        <w:t xml:space="preserve">May specific na criteria o standards po ba na dapat naming matugunan bago ma-consider ang aiPHeed as technically validated?</w:t>
      </w:r>
    </w:p>
    <w:p>
      <w:pPr>
        <w:pStyle w:val="ListParagraph"/>
        <w:numPr>
          <w:ilvl w:val="0"/>
          <w:numId w:val="2"/>
        </w:numPr>
        <w:spacing w:after="90" w:line="290"/>
      </w:pPr>
      <w:r>
        <w:rPr>
          <w:sz w:val="21"/>
          <w:szCs w:val="21"/>
        </w:rPr>
        <w:t xml:space="preserve">Kailan po pwedeng ma-schedule ang post-testing evaluation, kung ise-set namin ito bago ang aming target defense date?</w:t>
      </w:r>
    </w:p>
    <w:p>
      <w:pPr>
        <w:pStyle w:val="Heading2"/>
        <w:spacing w:after="120" w:before="260"/>
      </w:pPr>
      <w:r>
        <w:rPr>
          <w:b/>
          <w:bCs/>
          <w:color w:val="0F7B6C"/>
          <w:sz w:val="24"/>
          <w:szCs w:val="24"/>
        </w:rPr>
        <w:t xml:space="preserve">B. Expert validator &amp; dataset labeling</w:t>
      </w:r>
    </w:p>
    <w:p>
      <w:pPr>
        <w:pStyle w:val="ListParagraph"/>
        <w:numPr>
          <w:ilvl w:val="0"/>
          <w:numId w:val="2"/>
        </w:numPr>
        <w:spacing w:after="90" w:line="290"/>
      </w:pPr>
      <w:r>
        <w:rPr>
          <w:sz w:val="21"/>
          <w:szCs w:val="21"/>
        </w:rPr>
        <w:t xml:space="preserve">Gaano po katagal/ilang oras ang kailangan ng bawat annotator para sa labeling task?</w:t>
      </w:r>
    </w:p>
    <w:p>
      <w:pPr>
        <w:pStyle w:val="ListParagraph"/>
        <w:numPr>
          <w:ilvl w:val="0"/>
          <w:numId w:val="2"/>
        </w:numPr>
        <w:spacing w:after="90" w:line="290"/>
      </w:pPr>
      <w:r>
        <w:rPr>
          <w:sz w:val="21"/>
          <w:szCs w:val="21"/>
        </w:rPr>
        <w:t xml:space="preserve">Meron na po bang existing na labeled dataset o internal classification na DOST/kaugnay na ahensya ang gumagamit na pwede naming i-reference bilang panimulang gabay?</w:t>
      </w:r>
    </w:p>
    <w:p>
      <w:pPr>
        <w:pStyle w:val="Heading2"/>
        <w:spacing w:after="120" w:before="260"/>
      </w:pPr>
      <w:r>
        <w:rPr>
          <w:b/>
          <w:bCs/>
          <w:color w:val="0F7B6C"/>
          <w:sz w:val="24"/>
          <w:szCs w:val="24"/>
        </w:rPr>
        <w:t xml:space="preserve">C. Deployment &amp; sustainability</w:t>
      </w:r>
    </w:p>
    <w:p>
      <w:pPr>
        <w:pStyle w:val="ListParagraph"/>
        <w:numPr>
          <w:ilvl w:val="0"/>
          <w:numId w:val="2"/>
        </w:numPr>
        <w:spacing w:after="90" w:line="290"/>
      </w:pPr>
      <w:r>
        <w:rPr>
          <w:sz w:val="21"/>
          <w:szCs w:val="21"/>
        </w:rPr>
        <w:t xml:space="preserve">Kung ma-validate ang system, meron po bang paraan para ma-host o ma-integrate ito sa existing DOST infrastructure o website matapos ang thesis?</w:t>
      </w:r>
    </w:p>
    <w:p>
      <w:pPr>
        <w:pStyle w:val="ListParagraph"/>
        <w:numPr>
          <w:ilvl w:val="0"/>
          <w:numId w:val="2"/>
        </w:numPr>
        <w:spacing w:after="90" w:line="290"/>
      </w:pPr>
      <w:r>
        <w:rPr>
          <w:sz w:val="21"/>
          <w:szCs w:val="21"/>
        </w:rPr>
        <w:t xml:space="preserve">Sino po ang magiging responsable sa pag-maintain ng system (quarterly data updates) pagkatapos ng defense ng grupo?</w:t>
      </w:r>
    </w:p>
    <w:p>
      <w:pPr>
        <w:pStyle w:val="ListParagraph"/>
        <w:numPr>
          <w:ilvl w:val="0"/>
          <w:numId w:val="2"/>
        </w:numPr>
        <w:spacing w:after="90" w:line="290"/>
      </w:pPr>
      <w:r>
        <w:rPr>
          <w:sz w:val="21"/>
          <w:szCs w:val="21"/>
        </w:rPr>
        <w:t xml:space="preserve">May mga kaugnay pa po bang proyekto o inisyatiba ang DOST Region IV-A na maaaring i-coordinate namin dito, para maiwasan ang duplication?</w:t>
      </w:r>
    </w:p>
    <w:p>
      <w:r>
        <w:br w:type="page"/>
      </w:r>
    </w:p>
    <w:p>
      <w:pPr>
        <w:pStyle w:val="Heading1"/>
        <w:pBdr>
          <w:bottom w:val="single" w:color="1F3864" w:sz="6" w:space="4"/>
        </w:pBdr>
        <w:spacing w:after="160" w:before="360"/>
      </w:pPr>
      <w:r>
        <w:rPr>
          <w:b/>
          <w:bCs/>
          <w:color w:val="1F3864"/>
          <w:sz w:val="28"/>
          <w:szCs w:val="28"/>
        </w:rPr>
        <w:t xml:space="preserve">13. Possibly Missing — Worth Double-Checking</w:t>
      </w:r>
    </w:p>
    <w:p>
      <w:pPr>
        <w:spacing w:after="140" w:line="300"/>
      </w:pPr>
      <w:r>
        <w:rPr>
          <w:sz w:val="21"/>
          <w:szCs w:val="21"/>
        </w:rPr>
        <w:t xml:space="preserve">A few things this kit does not fully resolve yet. None are blockers for today's call, but flagging them now avoids surprises later.</w:t>
      </w:r>
    </w:p>
    <w:p>
      <w:pPr>
        <w:pStyle w:val="ListParagraph"/>
        <w:numPr>
          <w:ilvl w:val="0"/>
          <w:numId w:val="2"/>
        </w:numPr>
        <w:spacing w:after="90" w:line="290"/>
      </w:pPr>
      <w:r>
        <w:rPr>
          <w:sz w:val="21"/>
          <w:szCs w:val="21"/>
        </w:rPr>
        <w:t xml:space="preserve">Target defense date: the script asks about post-testing scheduling but never states our own defense timeline — decide this before the call so Segment 06's answer to “when can this be scheduled” has a concrete deadline to work backward from.</w:t>
      </w:r>
    </w:p>
    <w:p>
      <w:pPr>
        <w:pStyle w:val="ListParagraph"/>
        <w:numPr>
          <w:ilvl w:val="0"/>
          <w:numId w:val="2"/>
        </w:numPr>
        <w:spacing w:after="90" w:line="290"/>
      </w:pPr>
      <w:r>
        <w:rPr>
          <w:sz w:val="21"/>
          <w:szCs w:val="21"/>
        </w:rPr>
        <w:t xml:space="preserve">MOA / formal endorsement paperwork: Ask #1 requests a partnership commitment, but there's no draft Memorandum of Agreement or endorsement letter ready to leave behind — worth asking the ARD what document format DOST typically requires, then drafting it as a fast follow-up.</w:t>
      </w:r>
    </w:p>
    <w:p>
      <w:pPr>
        <w:pStyle w:val="ListParagraph"/>
        <w:numPr>
          <w:ilvl w:val="0"/>
          <w:numId w:val="2"/>
        </w:numPr>
        <w:spacing w:after="90" w:line="290"/>
      </w:pPr>
      <w:r>
        <w:rPr>
          <w:sz w:val="21"/>
          <w:szCs w:val="21"/>
        </w:rPr>
        <w:t xml:space="preserve">Test/demo account for DOST: consider offering a login DOST staff can explore on their own after the call. Since it would still show mock data pending model integration, be explicit about that when sharing it, so DOST's independent exploration doesn't create a different impression than the live demo did.</w:t>
      </w:r>
    </w:p>
    <w:p>
      <w:pPr>
        <w:pStyle w:val="ListParagraph"/>
        <w:numPr>
          <w:ilvl w:val="0"/>
          <w:numId w:val="2"/>
        </w:numPr>
        <w:spacing w:after="90" w:line="290"/>
      </w:pPr>
      <w:r>
        <w:rPr>
          <w:sz w:val="21"/>
          <w:szCs w:val="21"/>
        </w:rPr>
        <w:t xml:space="preserve">Model integration timeline: DOST will likely ask when real forecasts will be live, since Segment 03 now says this explicitly — have a rough date or milestone in mind before the call rather than answering "not sure" on the spot.</w:t>
      </w:r>
    </w:p>
    <w:p>
      <w:pPr>
        <w:pStyle w:val="ListParagraph"/>
        <w:numPr>
          <w:ilvl w:val="0"/>
          <w:numId w:val="2"/>
        </w:numPr>
        <w:spacing w:after="90" w:line="290"/>
      </w:pPr>
      <w:r>
        <w:rPr>
          <w:sz w:val="21"/>
          <w:szCs w:val="21"/>
        </w:rPr>
        <w:t xml:space="preserve">Consent language for the live interview itself: Section 9's questions are being asked verbally and answers will be used as data (per the thesis's own ethics section) — worth a one-line verbal consent/acknowledgment before Segment 06 starts, mirroring the written consent in the questionnaire draft.</w:t>
      </w:r>
    </w:p>
    <w:p>
      <w:pPr>
        <w:pStyle w:val="ListParagraph"/>
        <w:numPr>
          <w:ilvl w:val="0"/>
          <w:numId w:val="2"/>
        </w:numPr>
        <w:spacing w:after="90" w:line="290"/>
      </w:pPr>
      <w:r>
        <w:rPr>
          <w:sz w:val="21"/>
          <w:szCs w:val="21"/>
        </w:rPr>
        <w:t xml:space="preserve">Backup plan for connectivity issues: since this is virtual, confirm who has a mobile hotspot ready and whether the meeting has a dial-in/phone fallback if video drops mid-demo.</w:t>
      </w:r>
    </w:p>
    <w:p>
      <w:pPr>
        <w:pStyle w:val="ListParagraph"/>
        <w:numPr>
          <w:ilvl w:val="0"/>
          <w:numId w:val="2"/>
        </w:numPr>
        <w:spacing w:after="90" w:line="290"/>
      </w:pPr>
      <w:r>
        <w:rPr>
          <w:sz w:val="21"/>
          <w:szCs w:val="21"/>
        </w:rPr>
        <w:t xml:space="preserve">Who signs off on the questionnaire edits: Segment 04 asks DOST to mark up the draft questionnaire — clarify whether that feedback should route back through the ARD directly or through a specific staff member, so the group knows who to follow up with.</w:t>
      </w:r>
    </w:p>
    <w:p>
      <w:pPr>
        <w:pStyle w:val="Heading1"/>
        <w:pBdr>
          <w:bottom w:val="single" w:color="1F3864" w:sz="6" w:space="4"/>
        </w:pBdr>
        <w:spacing w:after="160" w:before="360"/>
      </w:pPr>
      <w:r>
        <w:rPr>
          <w:b/>
          <w:bCs/>
          <w:color w:val="1F3864"/>
          <w:sz w:val="28"/>
          <w:szCs w:val="28"/>
        </w:rPr>
        <w:t xml:space="preserve">14. Pre-Meeting Checklist</w:t>
      </w:r>
    </w:p>
    <w:p>
      <w:pPr>
        <w:pStyle w:val="ListParagraph"/>
        <w:numPr>
          <w:ilvl w:val="0"/>
          <w:numId w:val="2"/>
        </w:numPr>
        <w:spacing w:after="90" w:line="290"/>
      </w:pPr>
      <w:r>
        <w:rPr>
          <w:sz w:val="21"/>
          <w:szCs w:val="21"/>
        </w:rPr>
        <w:t xml:space="preserve">Test screen share and internet connection 15 minutes before the call; have a mobile hotspot as backup.</w:t>
      </w:r>
    </w:p>
    <w:p>
      <w:pPr>
        <w:pStyle w:val="ListParagraph"/>
        <w:numPr>
          <w:ilvl w:val="0"/>
          <w:numId w:val="2"/>
        </w:numPr>
        <w:spacing w:after="90" w:line="290"/>
      </w:pPr>
      <w:r>
        <w:rPr>
          <w:sz w:val="21"/>
          <w:szCs w:val="21"/>
        </w:rPr>
        <w:t xml:space="preserve">Open the dashboard, log in, and pre-load a province/quarter with a visible HIGH-risk example before the call starts.</w:t>
      </w:r>
    </w:p>
    <w:p>
      <w:pPr>
        <w:pStyle w:val="ListParagraph"/>
        <w:numPr>
          <w:ilvl w:val="0"/>
          <w:numId w:val="2"/>
        </w:numPr>
        <w:spacing w:after="90" w:line="290"/>
      </w:pPr>
      <w:r>
        <w:rPr>
          <w:sz w:val="21"/>
          <w:szCs w:val="21"/>
        </w:rPr>
        <w:t xml:space="preserve">Have this document, the questionnaire draft, the manuscript, and the system open in separate tabs/windows.</w:t>
      </w:r>
    </w:p>
    <w:p>
      <w:pPr>
        <w:pStyle w:val="ListParagraph"/>
        <w:numPr>
          <w:ilvl w:val="0"/>
          <w:numId w:val="2"/>
        </w:numPr>
        <w:spacing w:after="90" w:line="290"/>
      </w:pPr>
      <w:r>
        <w:rPr>
          <w:sz w:val="21"/>
          <w:szCs w:val="21"/>
        </w:rPr>
        <w:t xml:space="preserve">Assign a note-taker to capture DOST's answers to Segment 06 (More Questions / pre-interview) verbatim — this is the study's substitute for a pre-survey.</w:t>
      </w:r>
    </w:p>
    <w:p>
      <w:pPr>
        <w:pStyle w:val="ListParagraph"/>
        <w:numPr>
          <w:ilvl w:val="0"/>
          <w:numId w:val="2"/>
        </w:numPr>
        <w:spacing w:after="90" w:line="290"/>
      </w:pPr>
      <w:r>
        <w:rPr>
          <w:sz w:val="21"/>
          <w:szCs w:val="21"/>
        </w:rPr>
        <w:t xml:space="preserve">Decide the target defense date before the call, so Segment 04/06 can give DOST a concrete timeline.</w:t>
      </w:r>
    </w:p>
    <w:p>
      <w:pPr>
        <w:pStyle w:val="ListParagraph"/>
        <w:numPr>
          <w:ilvl w:val="0"/>
          <w:numId w:val="2"/>
        </w:numPr>
        <w:spacing w:after="90" w:line="290"/>
      </w:pPr>
      <w:r>
        <w:rPr>
          <w:sz w:val="21"/>
          <w:szCs w:val="21"/>
        </w:rPr>
        <w:t xml:space="preserve">Prepare a one-page follow-up email draft to send within 24 hours, summarizing asks, the questionnaire feedback request, and next steps.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aiPHeed — DOST Region IV-A Meeting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bullet"/>
      <w:lvlText w:val="–"/>
      <w:lvlJc w:val="left"/>
      <w:pPr>
        <w:ind w:left="81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06849c0e6236572ca6e8ed053bbebf5bcfa5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2026-08-20T00:57:29.641Z</dcterms:created>
  <dcterms:modified xsi:type="dcterms:W3CDTF">2026-08-20T00:57:29.641Z</dcterms:modified>
</cp:coreProperties>
</file>

<file path=docProps/custom.xml><?xml version="1.0" encoding="utf-8"?>
<Properties xmlns="http://schemas.openxmlformats.org/officeDocument/2006/custom-properties" xmlns:vt="http://schemas.openxmlformats.org/officeDocument/2006/docPropsVTypes"/>
</file>