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F3864"/>
          <w:sz w:val="30"/>
          <w:szCs w:val="30"/>
        </w:rPr>
        <w:t xml:space="preserve">aiPHeed: A Geospatial Food Insecurity Forecasting System for DOST Region IV-A Using NLP and Machine Learning</w:t>
      </w:r>
    </w:p>
    <w:p>
      <w:pPr>
        <w:spacing w:after="140" w:line="300"/>
      </w:pPr>
      <w:r>
        <w:rPr>
          <w:sz w:val="21"/>
          <w:szCs w:val="21"/>
        </w:rPr>
        <w:t xml:space="preserve">Greetings!</w:t>
      </w:r>
    </w:p>
    <w:p>
      <w:pPr>
        <w:spacing w:after="140" w:line="300"/>
      </w:pPr>
      <w:r>
        <w:rPr>
          <w:sz w:val="21"/>
          <w:szCs w:val="21"/>
        </w:rPr>
        <w:t xml:space="preserve">We, </w:t>
      </w:r>
      <w:r>
        <w:rPr>
          <w:b/>
          <w:bCs/>
          <w:sz w:val="21"/>
          <w:szCs w:val="21"/>
        </w:rPr>
        <w:t xml:space="preserve">Princess Gwenn A. Destura</w:t>
      </w:r>
      <w:r>
        <w:rPr>
          <w:sz w:val="21"/>
          <w:szCs w:val="21"/>
        </w:rPr>
        <w:t xml:space="preserve">, </w:t>
      </w:r>
      <w:r>
        <w:rPr>
          <w:b/>
          <w:bCs/>
          <w:sz w:val="21"/>
          <w:szCs w:val="21"/>
        </w:rPr>
        <w:t xml:space="preserve">Christina M. Esico</w:t>
      </w:r>
      <w:r>
        <w:rPr>
          <w:sz w:val="21"/>
          <w:szCs w:val="21"/>
        </w:rPr>
        <w:t xml:space="preserve">, and </w:t>
      </w:r>
      <w:r>
        <w:rPr>
          <w:b/>
          <w:bCs/>
          <w:sz w:val="21"/>
          <w:szCs w:val="21"/>
        </w:rPr>
        <w:t xml:space="preserve">Angel Vhea P. Melindo</w:t>
      </w:r>
      <w:r>
        <w:rPr>
          <w:sz w:val="21"/>
          <w:szCs w:val="21"/>
        </w:rPr>
        <w:t xml:space="preserve">, are fourth-year Computer Science students (Intelligence Systems track) from De La Salle University – Dasmariñas. In partial fulfillment of our Thesis 2, we are conducting a study entitled </w:t>
      </w:r>
      <w:r>
        <w:rPr>
          <w:i/>
          <w:iCs/>
          <w:sz w:val="21"/>
          <w:szCs w:val="21"/>
        </w:rPr>
        <w:t xml:space="preserve">aiPHeed</w:t>
      </w:r>
      <w:r>
        <w:rPr>
          <w:sz w:val="21"/>
          <w:szCs w:val="21"/>
        </w:rPr>
        <w:t xml:space="preserve">.</w:t>
      </w:r>
    </w:p>
    <w:p>
      <w:pPr>
        <w:spacing w:after="140" w:line="300"/>
      </w:pPr>
      <w:r>
        <w:rPr>
          <w:sz w:val="21"/>
          <w:szCs w:val="21"/>
        </w:rPr>
        <w:t xml:space="preserve">Our study aims to develop and evaluate a geospatial forecasting system that anticipates food-insecurity risk across CALABARZON, using natural language processing and machine learning on public news and government data. Your feedback will help us assess the system's forecast accuracy relevance, functionality, and usability. Rest assured, all responses will be kept confidential and used solely for academic purposes, consistent with the Data Privacy Act of 2012 (RA 10173).</w:t>
      </w:r>
    </w:p>
    <w:p>
      <w:pPr>
        <w:spacing w:after="140" w:line="300"/>
      </w:pPr>
      <w:r>
        <w:rPr>
          <w:sz w:val="21"/>
          <w:szCs w:val="21"/>
        </w:rPr>
        <w:t xml:space="preserve">If you have further inquiries about this survey, you may contact the following:</w:t>
      </w:r>
    </w:p>
    <w:p>
      <w:pPr>
        <w:pStyle w:val="ListParagraph"/>
        <w:numPr>
          <w:ilvl w:val="0"/>
          <w:numId w:val="2"/>
        </w:numPr>
        <w:spacing w:after="80" w:line="290"/>
      </w:pPr>
      <w:r>
        <w:rPr>
          <w:sz w:val="21"/>
          <w:szCs w:val="21"/>
        </w:rPr>
        <w:t xml:space="preserve">Princess Gwenn A. Destura — [DLSU-D student email]</w:t>
      </w:r>
    </w:p>
    <w:p>
      <w:pPr>
        <w:pStyle w:val="ListParagraph"/>
        <w:numPr>
          <w:ilvl w:val="0"/>
          <w:numId w:val="2"/>
        </w:numPr>
        <w:spacing w:after="80" w:line="290"/>
      </w:pPr>
      <w:r>
        <w:rPr>
          <w:sz w:val="21"/>
          <w:szCs w:val="21"/>
        </w:rPr>
        <w:t xml:space="preserve">Christina M. Esico — [DLSU-D student email]</w:t>
      </w:r>
    </w:p>
    <w:p>
      <w:pPr>
        <w:pStyle w:val="ListParagraph"/>
        <w:numPr>
          <w:ilvl w:val="0"/>
          <w:numId w:val="2"/>
        </w:numPr>
        <w:spacing w:after="80" w:line="290"/>
      </w:pPr>
      <w:r>
        <w:rPr>
          <w:sz w:val="21"/>
          <w:szCs w:val="21"/>
        </w:rPr>
        <w:t xml:space="preserve">Angel Vhea P. Melindo — [DLSU-D student email]</w:t>
      </w:r>
    </w:p>
    <w:p>
      <w:pPr>
        <w:shd w:fill="EDF2F7" w:val="clear"/>
        <w:spacing w:after="160" w:before="40"/>
      </w:pPr>
      <w:r>
        <w:rPr>
          <w:i/>
          <w:iCs/>
          <w:color w:val="666666"/>
          <w:sz w:val="19"/>
          <w:szCs w:val="19"/>
        </w:rPr>
        <w:t xml:space="preserve">Draft note: fill in actual student email addresses before this is sent out as a Google Form.</w:t>
      </w:r>
    </w:p>
    <w:p>
      <w:pPr>
        <w:shd w:fill="F5F0E6" w:val="clear"/>
        <w:spacing w:after="160" w:before="40"/>
      </w:pPr>
      <w:r>
        <w:rPr>
          <w:i/>
          <w:iCs/>
          <w:color w:val="B7862C"/>
          <w:sz w:val="19"/>
          <w:szCs w:val="19"/>
        </w:rPr>
        <w:t xml:space="preserve">NOTE ON TIMING — this draft, including Section 2 (Forecast Accuracy &amp; Relevance), is written for administration AFTER the trained NLP/ML model is integrated into the live dashboard and generating real forecasts. The version shown during today's meeting/demo displays mock/placeholder data for UI and workflow preview only — accuracy-related items would not be fair to ask yet. See the Meeting Kit's Section 6 for how this is communicated live.</w:t>
      </w:r>
    </w:p>
    <w:p>
      <w:pPr>
        <w:pStyle w:val="Heading1"/>
        <w:pBdr>
          <w:bottom w:val="single" w:color="1F3864" w:sz="6" w:space="4"/>
        </w:pBdr>
        <w:spacing w:after="160" w:before="360"/>
      </w:pPr>
      <w:r>
        <w:rPr>
          <w:b/>
          <w:bCs/>
          <w:color w:val="1F3864"/>
          <w:sz w:val="28"/>
          <w:szCs w:val="28"/>
        </w:rPr>
        <w:t xml:space="preserve">Informed Consent</w:t>
      </w:r>
    </w:p>
    <w:p>
      <w:pPr>
        <w:spacing w:after="140" w:line="300"/>
      </w:pPr>
      <w:r>
        <w:rPr>
          <w:sz w:val="21"/>
          <w:szCs w:val="21"/>
        </w:rPr>
        <w:t xml:space="preserve">This survey includes an informed consent form to ensure that respondents fully understand the purpose of the study, how their responses will be used, and their rights as a participant. Respondents are asked to review the consent form before continuing with the survey. (Draft: link to full English/Filipino consent form text to be inserted here, mirroring the study's ethics section.)</w:t>
      </w:r>
    </w:p>
    <w:p>
      <w:pPr>
        <w:spacing w:after="140" w:line="300"/>
      </w:pPr>
      <w:r>
        <w:rPr>
          <w:sz w:val="21"/>
          <w:szCs w:val="21"/>
        </w:rPr>
        <w:t xml:space="preserve">For the Certificate of Consent, respondents do not need to upload a signed copy. Instead, they type their full name in the field using the format:  "Sgd. Full Name"  (e.g., "Sgd. Juan Dela Cruz"). Typing the name in this format serves as a digital signature and confirms voluntary consent to participate.</w:t>
      </w:r>
    </w:p>
    <w:p>
      <w:pPr>
        <w:pStyle w:val="ListParagraph"/>
        <w:numPr>
          <w:ilvl w:val="0"/>
          <w:numId w:val="2"/>
        </w:numPr>
        <w:spacing w:after="80" w:line="290"/>
      </w:pPr>
      <w:r>
        <w:rPr>
          <w:sz w:val="21"/>
          <w:szCs w:val="21"/>
        </w:rPr>
        <w:t xml:space="preserve">Purpose statement, time required (~10–15 minutes), confidentiality and voluntary-participation statements, as drafted in the previous version of this document, remain part of this page.</w:t>
      </w:r>
    </w:p>
    <w:p>
      <w:pPr>
        <w:pStyle w:val="ListParagraph"/>
        <w:numPr>
          <w:ilvl w:val="0"/>
          <w:numId w:val="2"/>
        </w:numPr>
        <w:spacing w:after="80" w:line="290"/>
      </w:pPr>
      <w:r>
        <w:rPr>
          <w:sz w:val="21"/>
          <w:szCs w:val="21"/>
        </w:rPr>
        <w:t xml:space="preserve">Consent checkbox: "I have read the above and voluntarily agree to participate." (required to proceed)</w:t>
      </w:r>
    </w:p>
    <w:p>
      <w:pPr>
        <w:pStyle w:val="Heading1"/>
        <w:pBdr>
          <w:bottom w:val="single" w:color="1F3864" w:sz="6" w:space="4"/>
        </w:pBdr>
        <w:spacing w:after="160" w:before="360"/>
      </w:pPr>
      <w:r>
        <w:rPr>
          <w:b/>
          <w:bCs/>
          <w:color w:val="1F3864"/>
          <w:sz w:val="28"/>
          <w:szCs w:val="28"/>
        </w:rPr>
        <w:t xml:space="preserve">How to Access aiPHeed</w:t>
      </w:r>
    </w:p>
    <w:p>
      <w:pPr>
        <w:spacing w:after="140" w:line="300"/>
      </w:pPr>
      <w:r>
        <w:rPr>
          <w:sz w:val="21"/>
          <w:szCs w:val="21"/>
        </w:rPr>
        <w:t xml:space="preserve">Modeled on how other DLSU-D thesis groups structure this section — to be completed once the model-integrated version is deployed for pilot access:</w:t>
      </w:r>
    </w:p>
    <w:p>
      <w:pPr>
        <w:pStyle w:val="ListParagraph"/>
        <w:numPr>
          <w:ilvl w:val="0"/>
          <w:numId w:val="2"/>
        </w:numPr>
        <w:spacing w:after="80" w:line="290"/>
      </w:pPr>
      <w:r>
        <w:rPr>
          <w:sz w:val="21"/>
          <w:szCs w:val="21"/>
        </w:rPr>
        <w:t xml:space="preserve">Link to the live aiPHeed dashboard (placeholder — not yet available; today's meeting uses a local/demo build with mock data).</w:t>
      </w:r>
    </w:p>
    <w:p>
      <w:pPr>
        <w:pStyle w:val="ListParagraph"/>
        <w:numPr>
          <w:ilvl w:val="0"/>
          <w:numId w:val="2"/>
        </w:numPr>
        <w:spacing w:after="80" w:line="290"/>
      </w:pPr>
      <w:r>
        <w:rPr>
          <w:sz w:val="21"/>
          <w:szCs w:val="21"/>
        </w:rPr>
        <w:t xml:space="preserve">Note on device requirements (e.g., desktop/laptop optimized, if applicable).</w:t>
      </w:r>
    </w:p>
    <w:p>
      <w:pPr>
        <w:pStyle w:val="ListParagraph"/>
        <w:numPr>
          <w:ilvl w:val="0"/>
          <w:numId w:val="2"/>
        </w:numPr>
        <w:spacing w:after="80" w:line="290"/>
      </w:pPr>
      <w:r>
        <w:rPr>
          <w:sz w:val="21"/>
          <w:szCs w:val="21"/>
        </w:rPr>
        <w:t xml:space="preserve">Link to a short User Guide covering the map, quarter slider, rankings, alerts, SHAP explanations, and PDF export.</w:t>
      </w:r>
    </w:p>
    <w:p>
      <w:pPr>
        <w:pStyle w:val="ListParagraph"/>
        <w:numPr>
          <w:ilvl w:val="0"/>
          <w:numId w:val="2"/>
        </w:numPr>
        <w:spacing w:after="80" w:line="290"/>
      </w:pPr>
      <w:r>
        <w:rPr>
          <w:sz w:val="21"/>
          <w:szCs w:val="21"/>
        </w:rPr>
        <w:t xml:space="preserve">A short video walkthrough of the dashboard, for respondents completing the form asynchronously rather than during a live session.</w:t>
      </w:r>
    </w:p>
    <w:p>
      <w:pPr>
        <w:pStyle w:val="Heading1"/>
        <w:pBdr>
          <w:bottom w:val="single" w:color="1F3864" w:sz="6" w:space="4"/>
        </w:pBdr>
        <w:spacing w:after="160" w:before="360"/>
      </w:pPr>
      <w:r>
        <w:rPr>
          <w:b/>
          <w:bCs/>
          <w:color w:val="1F3864"/>
          <w:sz w:val="28"/>
          <w:szCs w:val="28"/>
        </w:rPr>
        <w:t xml:space="preserve">Section 1 — Respondent Profile</w:t>
      </w:r>
    </w:p>
    <w:p>
      <w:pPr>
        <w:pStyle w:val="ListParagraph"/>
        <w:numPr>
          <w:ilvl w:val="0"/>
          <w:numId w:val="2"/>
        </w:numPr>
        <w:spacing w:after="80" w:line="290"/>
      </w:pPr>
      <w:r>
        <w:rPr>
          <w:sz w:val="21"/>
          <w:szCs w:val="21"/>
        </w:rPr>
        <w:t xml:space="preserve">Respondent group:  ☐ DOST Region IV-A staff   ☐ General public</w:t>
      </w:r>
    </w:p>
    <w:p>
      <w:pPr>
        <w:pStyle w:val="ListParagraph"/>
        <w:numPr>
          <w:ilvl w:val="0"/>
          <w:numId w:val="2"/>
        </w:numPr>
        <w:spacing w:after="80" w:line="290"/>
      </w:pPr>
      <w:r>
        <w:rPr>
          <w:sz w:val="21"/>
          <w:szCs w:val="21"/>
        </w:rPr>
        <w:t xml:space="preserve">(If DOST staff) Division/unit:  ☐ Technical Operations   ☐ ICT/GIS Support   ☐ S&amp;T Project Evaluation   ☐ Other: ____</w:t>
      </w:r>
    </w:p>
    <w:p>
      <w:pPr>
        <w:pStyle w:val="ListParagraph"/>
        <w:numPr>
          <w:ilvl w:val="0"/>
          <w:numId w:val="2"/>
        </w:numPr>
        <w:spacing w:after="80" w:line="290"/>
      </w:pPr>
      <w:r>
        <w:rPr>
          <w:sz w:val="21"/>
          <w:szCs w:val="21"/>
        </w:rPr>
        <w:t xml:space="preserve">(If DOST staff) Years in current role/agency:  ☐ &lt;1 yr  ☐ 1–3 yrs  ☐ 4–10 yrs  ☐ 10+ yrs</w:t>
      </w:r>
    </w:p>
    <w:p>
      <w:pPr>
        <w:pStyle w:val="ListParagraph"/>
        <w:numPr>
          <w:ilvl w:val="0"/>
          <w:numId w:val="2"/>
        </w:numPr>
        <w:spacing w:after="80" w:line="290"/>
      </w:pPr>
      <w:r>
        <w:rPr>
          <w:sz w:val="21"/>
          <w:szCs w:val="21"/>
        </w:rPr>
        <w:t xml:space="preserve">Familiarity with food-security/social-protection data before today:  ☐ None  ☐ Basic  ☐ Working knowledge  ☐ Expert</w:t>
      </w:r>
    </w:p>
    <w:p>
      <w:pPr>
        <w:pStyle w:val="Heading1"/>
        <w:pBdr>
          <w:bottom w:val="single" w:color="1F3864" w:sz="6" w:space="4"/>
        </w:pBdr>
        <w:spacing w:after="160" w:before="360"/>
      </w:pPr>
      <w:r>
        <w:rPr>
          <w:b/>
          <w:bCs/>
          <w:color w:val="1F3864"/>
          <w:sz w:val="28"/>
          <w:szCs w:val="28"/>
        </w:rPr>
        <w:t xml:space="preserve">Section 2 — Forecast Accuracy &amp; Relevance</w:t>
      </w:r>
    </w:p>
    <w:p>
      <w:pPr>
        <w:shd w:fill="F5F0E6" w:val="clear"/>
        <w:spacing w:after="160" w:before="40"/>
      </w:pPr>
      <w:r>
        <w:rPr>
          <w:i/>
          <w:iCs/>
          <w:color w:val="B7862C"/>
          <w:sz w:val="19"/>
          <w:szCs w:val="19"/>
        </w:rPr>
        <w:t xml:space="preserve">Administer only once real, model-generated forecasts are visible on the dashboard — not with mock/placeholder data.</w:t>
      </w:r>
    </w:p>
    <w:p>
      <w:pPr>
        <w:spacing w:after="140" w:line="300"/>
      </w:pPr>
      <w:r>
        <w:rPr>
          <w:sz w:val="21"/>
          <w:szCs w:val="21"/>
        </w:rPr>
        <w:t xml:space="preserve">Please rate the following statements based on the system's forecasting performance, using the 5-point Likert scale below.</w:t>
      </w:r>
    </w:p>
    <w:p>
      <w:pPr>
        <w:spacing w:after="140"/>
      </w:pPr>
      <w:r>
        <w:rPr>
          <w:b/>
          <w:bCs/>
          <w:color w:val="444444"/>
          <w:sz w:val="20"/>
          <w:szCs w:val="20"/>
        </w:rPr>
        <w:t xml:space="preserve">5-point Likert scale:  </w:t>
      </w:r>
      <w:r>
        <w:rPr>
          <w:color w:val="444444"/>
          <w:sz w:val="20"/>
          <w:szCs w:val="20"/>
        </w:rPr>
        <w:t xml:space="preserve">1 = Strongly Disagree   2 = Disagree   3 = Neutral   4 = Agree   5 = Strongly Agree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25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6300"/>
            <w:shd w:fill="1F3864" w:val="clear"/>
            <w:tcMar>
              <w:top w:type="dxa" w:w="80"/>
              <w:left w:type="dxa" w:w="100"/>
              <w:bottom w:type="dxa" w:w="80"/>
              <w:right w:type="dxa" w:w="100"/>
            </w:tcMar>
            <w:vAlign w:val="center"/>
          </w:tcPr>
          <w:p>
            <w:pPr>
              <w:jc w:val="left"/>
            </w:pPr>
            <w:r>
              <w:rPr>
                <w:b/>
                <w:bCs/>
                <w:color w:val="FFFFFF"/>
                <w:sz w:val="20"/>
                <w:szCs w:val="20"/>
              </w:rPr>
              <w:t xml:space="preserve">Statement</w:t>
            </w:r>
          </w:p>
        </w:tc>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Scale</w:t>
            </w:r>
          </w:p>
        </w:tc>
      </w:tr>
      <w:tr>
        <w:tc>
          <w:tcPr>
            <w:tcW w:type="dxa" w:w="500"/>
            <w:shd w:fill="FFFFFF" w:val="clear"/>
            <w:tcMar>
              <w:top w:type="dxa" w:w="80"/>
              <w:left w:type="dxa" w:w="100"/>
              <w:bottom w:type="dxa" w:w="80"/>
              <w:right w:type="dxa" w:w="100"/>
            </w:tcMar>
            <w:vAlign w:val="center"/>
          </w:tcPr>
          <w:p>
            <w:pPr>
              <w:jc w:val="center"/>
            </w:pPr>
            <w:r>
              <w:rPr>
                <w:b/>
                <w:bCs/>
                <w:color w:val="B7862C"/>
                <w:sz w:val="20"/>
                <w:szCs w:val="20"/>
              </w:rPr>
              <w:t xml:space="preserve">1</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The province-level risk classifications (HIGH/LOW) shown by aiPHeed appear consistent with known conditions in CALABARZON.</w:t>
            </w:r>
          </w:p>
        </w:tc>
        <w:tc>
          <w:tcPr>
            <w:tcW w:type="dxa" w:w="2500"/>
            <w:shd w:fill="FFFFFF"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EDF2F7" w:val="clear"/>
            <w:tcMar>
              <w:top w:type="dxa" w:w="80"/>
              <w:left w:type="dxa" w:w="100"/>
              <w:bottom w:type="dxa" w:w="80"/>
              <w:right w:type="dxa" w:w="100"/>
            </w:tcMar>
            <w:vAlign w:val="center"/>
          </w:tcPr>
          <w:p>
            <w:pPr>
              <w:jc w:val="center"/>
            </w:pPr>
            <w:r>
              <w:rPr>
                <w:b/>
                <w:bCs/>
                <w:color w:val="B7862C"/>
                <w:sz w:val="20"/>
                <w:szCs w:val="20"/>
              </w:rPr>
              <w:t xml:space="preserve">2</w:t>
            </w:r>
          </w:p>
        </w:tc>
        <w:tc>
          <w:tcPr>
            <w:tcW w:type="dxa" w:w="63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The municipal/city risk rankings reflect realistic relative vulnerability across LGUs.</w:t>
            </w:r>
          </w:p>
        </w:tc>
        <w:tc>
          <w:tcPr>
            <w:tcW w:type="dxa" w:w="2500"/>
            <w:shd w:fill="EDF2F7"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FFFFFF" w:val="clear"/>
            <w:tcMar>
              <w:top w:type="dxa" w:w="80"/>
              <w:left w:type="dxa" w:w="100"/>
              <w:bottom w:type="dxa" w:w="80"/>
              <w:right w:type="dxa" w:w="100"/>
            </w:tcMar>
            <w:vAlign w:val="center"/>
          </w:tcPr>
          <w:p>
            <w:pPr>
              <w:jc w:val="center"/>
            </w:pPr>
            <w:r>
              <w:rPr>
                <w:b/>
                <w:bCs/>
                <w:color w:val="B7862C"/>
                <w:sz w:val="20"/>
                <w:szCs w:val="20"/>
              </w:rPr>
              <w:t xml:space="preserve">3</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The SHAP-based explanations helped me understand why a forecast was classified as high or low risk.</w:t>
            </w:r>
          </w:p>
        </w:tc>
        <w:tc>
          <w:tcPr>
            <w:tcW w:type="dxa" w:w="2500"/>
            <w:shd w:fill="FFFFFF"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EDF2F7" w:val="clear"/>
            <w:tcMar>
              <w:top w:type="dxa" w:w="80"/>
              <w:left w:type="dxa" w:w="100"/>
              <w:bottom w:type="dxa" w:w="80"/>
              <w:right w:type="dxa" w:w="100"/>
            </w:tcMar>
            <w:vAlign w:val="center"/>
          </w:tcPr>
          <w:p>
            <w:pPr>
              <w:jc w:val="center"/>
            </w:pPr>
            <w:r>
              <w:rPr>
                <w:b/>
                <w:bCs/>
                <w:color w:val="B7862C"/>
                <w:sz w:val="20"/>
                <w:szCs w:val="20"/>
              </w:rPr>
              <w:t xml:space="preserve">4</w:t>
            </w:r>
          </w:p>
        </w:tc>
        <w:tc>
          <w:tcPr>
            <w:tcW w:type="dxa" w:w="63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The forecast lead time (how far ahead aiPHeed predicts) is useful for planning purposes.</w:t>
            </w:r>
          </w:p>
        </w:tc>
        <w:tc>
          <w:tcPr>
            <w:tcW w:type="dxa" w:w="2500"/>
            <w:shd w:fill="EDF2F7"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FFFFFF" w:val="clear"/>
            <w:tcMar>
              <w:top w:type="dxa" w:w="80"/>
              <w:left w:type="dxa" w:w="100"/>
              <w:bottom w:type="dxa" w:w="80"/>
              <w:right w:type="dxa" w:w="100"/>
            </w:tcMar>
            <w:vAlign w:val="center"/>
          </w:tcPr>
          <w:p>
            <w:pPr>
              <w:jc w:val="center"/>
            </w:pPr>
            <w:r>
              <w:rPr>
                <w:b/>
                <w:bCs/>
                <w:color w:val="B7862C"/>
                <w:sz w:val="20"/>
                <w:szCs w:val="20"/>
              </w:rPr>
              <w:t xml:space="preserve">5</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The early-warning alerts would provide meaningful lead time for an actual intervention.</w:t>
            </w:r>
          </w:p>
        </w:tc>
        <w:tc>
          <w:tcPr>
            <w:tcW w:type="dxa" w:w="2500"/>
            <w:shd w:fill="FFFFFF"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bl>
    <w:p>
      <w:pPr>
        <w:pStyle w:val="Heading1"/>
        <w:pBdr>
          <w:bottom w:val="single" w:color="1F3864" w:sz="6" w:space="4"/>
        </w:pBdr>
        <w:spacing w:after="160" w:before="360"/>
      </w:pPr>
      <w:r>
        <w:rPr>
          <w:b/>
          <w:bCs/>
          <w:color w:val="1F3864"/>
          <w:sz w:val="28"/>
          <w:szCs w:val="28"/>
        </w:rPr>
        <w:t xml:space="preserve">Section 3 — Functionality</w:t>
      </w:r>
    </w:p>
    <w:p>
      <w:pPr>
        <w:spacing w:after="140" w:line="300"/>
      </w:pPr>
      <w:r>
        <w:rPr>
          <w:sz w:val="21"/>
          <w:szCs w:val="21"/>
        </w:rPr>
        <w:t xml:space="preserve">Please rate the following statements based on the platform's functionality, using the 5-point Likert scale below.</w:t>
      </w:r>
    </w:p>
    <w:p>
      <w:pPr>
        <w:spacing w:after="140"/>
      </w:pPr>
      <w:r>
        <w:rPr>
          <w:b/>
          <w:bCs/>
          <w:color w:val="444444"/>
          <w:sz w:val="20"/>
          <w:szCs w:val="20"/>
        </w:rPr>
        <w:t xml:space="preserve">5-point Likert scale:  </w:t>
      </w:r>
      <w:r>
        <w:rPr>
          <w:color w:val="444444"/>
          <w:sz w:val="20"/>
          <w:szCs w:val="20"/>
        </w:rPr>
        <w:t xml:space="preserve">1 = Strongly Disagree   2 = Disagree   3 = Neutral   4 = Agree   5 = Strongly Agree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25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6300"/>
            <w:shd w:fill="1F3864" w:val="clear"/>
            <w:tcMar>
              <w:top w:type="dxa" w:w="80"/>
              <w:left w:type="dxa" w:w="100"/>
              <w:bottom w:type="dxa" w:w="80"/>
              <w:right w:type="dxa" w:w="100"/>
            </w:tcMar>
            <w:vAlign w:val="center"/>
          </w:tcPr>
          <w:p>
            <w:pPr>
              <w:jc w:val="left"/>
            </w:pPr>
            <w:r>
              <w:rPr>
                <w:b/>
                <w:bCs/>
                <w:color w:val="FFFFFF"/>
                <w:sz w:val="20"/>
                <w:szCs w:val="20"/>
              </w:rPr>
              <w:t xml:space="preserve">Statement</w:t>
            </w:r>
          </w:p>
        </w:tc>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Scale</w:t>
            </w:r>
          </w:p>
        </w:tc>
      </w:tr>
      <w:tr>
        <w:tc>
          <w:tcPr>
            <w:tcW w:type="dxa" w:w="500"/>
            <w:shd w:fill="FFFFFF" w:val="clear"/>
            <w:tcMar>
              <w:top w:type="dxa" w:w="80"/>
              <w:left w:type="dxa" w:w="100"/>
              <w:bottom w:type="dxa" w:w="80"/>
              <w:right w:type="dxa" w:w="100"/>
            </w:tcMar>
            <w:vAlign w:val="center"/>
          </w:tcPr>
          <w:p>
            <w:pPr>
              <w:jc w:val="center"/>
            </w:pPr>
            <w:r>
              <w:rPr>
                <w:b/>
                <w:bCs/>
                <w:color w:val="B7862C"/>
                <w:sz w:val="20"/>
                <w:szCs w:val="20"/>
              </w:rPr>
              <w:t xml:space="preserve">6</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The dashboard provides all the functions needed to review food-insecurity risk (map, rankings, alerts, explanations, PDF export).</w:t>
            </w:r>
          </w:p>
        </w:tc>
        <w:tc>
          <w:tcPr>
            <w:tcW w:type="dxa" w:w="2500"/>
            <w:shd w:fill="FFFFFF"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EDF2F7" w:val="clear"/>
            <w:tcMar>
              <w:top w:type="dxa" w:w="80"/>
              <w:left w:type="dxa" w:w="100"/>
              <w:bottom w:type="dxa" w:w="80"/>
              <w:right w:type="dxa" w:w="100"/>
            </w:tcMar>
            <w:vAlign w:val="center"/>
          </w:tcPr>
          <w:p>
            <w:pPr>
              <w:jc w:val="center"/>
            </w:pPr>
            <w:r>
              <w:rPr>
                <w:b/>
                <w:bCs/>
                <w:color w:val="B7862C"/>
                <w:sz w:val="20"/>
                <w:szCs w:val="20"/>
              </w:rPr>
              <w:t xml:space="preserve">7</w:t>
            </w:r>
          </w:p>
        </w:tc>
        <w:tc>
          <w:tcPr>
            <w:tcW w:type="dxa" w:w="63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The system performs its forecasting and reporting functions correctly, without visible errors.</w:t>
            </w:r>
          </w:p>
        </w:tc>
        <w:tc>
          <w:tcPr>
            <w:tcW w:type="dxa" w:w="2500"/>
            <w:shd w:fill="EDF2F7"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FFFFFF" w:val="clear"/>
            <w:tcMar>
              <w:top w:type="dxa" w:w="80"/>
              <w:left w:type="dxa" w:w="100"/>
              <w:bottom w:type="dxa" w:w="80"/>
              <w:right w:type="dxa" w:w="100"/>
            </w:tcMar>
            <w:vAlign w:val="center"/>
          </w:tcPr>
          <w:p>
            <w:pPr>
              <w:jc w:val="center"/>
            </w:pPr>
            <w:r>
              <w:rPr>
                <w:b/>
                <w:bCs/>
                <w:color w:val="B7862C"/>
                <w:sz w:val="20"/>
                <w:szCs w:val="20"/>
              </w:rPr>
              <w:t xml:space="preserve">8</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The admin/evaluator review workflow (PENDING → STAGED → PUBLISHED) is appropriate for ensuring human oversight before publication.</w:t>
            </w:r>
          </w:p>
        </w:tc>
        <w:tc>
          <w:tcPr>
            <w:tcW w:type="dxa" w:w="2500"/>
            <w:shd w:fill="FFFFFF"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EDF2F7" w:val="clear"/>
            <w:tcMar>
              <w:top w:type="dxa" w:w="80"/>
              <w:left w:type="dxa" w:w="100"/>
              <w:bottom w:type="dxa" w:w="80"/>
              <w:right w:type="dxa" w:w="100"/>
            </w:tcMar>
            <w:vAlign w:val="center"/>
          </w:tcPr>
          <w:p>
            <w:pPr>
              <w:jc w:val="center"/>
            </w:pPr>
            <w:r>
              <w:rPr>
                <w:b/>
                <w:bCs/>
                <w:color w:val="B7862C"/>
                <w:sz w:val="20"/>
                <w:szCs w:val="20"/>
              </w:rPr>
              <w:t xml:space="preserve">9</w:t>
            </w:r>
          </w:p>
        </w:tc>
        <w:tc>
          <w:tcPr>
            <w:tcW w:type="dxa" w:w="63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The data-sufficiency flags (e.g., LIMITED_SIGNAL) gave me useful context about forecast confidence.</w:t>
            </w:r>
          </w:p>
        </w:tc>
        <w:tc>
          <w:tcPr>
            <w:tcW w:type="dxa" w:w="2500"/>
            <w:shd w:fill="EDF2F7"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bl>
    <w:p>
      <w:pPr>
        <w:pStyle w:val="Heading1"/>
        <w:pBdr>
          <w:bottom w:val="single" w:color="1F3864" w:sz="6" w:space="4"/>
        </w:pBdr>
        <w:spacing w:after="160" w:before="360"/>
      </w:pPr>
      <w:r>
        <w:rPr>
          <w:b/>
          <w:bCs/>
          <w:color w:val="1F3864"/>
          <w:sz w:val="28"/>
          <w:szCs w:val="28"/>
        </w:rPr>
        <w:t xml:space="preserve">Section 4 — Usability (ISO/IEC 25010-based)</w:t>
      </w:r>
    </w:p>
    <w:p>
      <w:pPr>
        <w:spacing w:after="140" w:line="300"/>
      </w:pPr>
      <w:r>
        <w:rPr>
          <w:sz w:val="21"/>
          <w:szCs w:val="21"/>
        </w:rPr>
        <w:t xml:space="preserve">Please rate the following statements based on your experience navigating and using the dashboard, using the 5-point Likert scale below.</w:t>
      </w:r>
    </w:p>
    <w:p>
      <w:pPr>
        <w:spacing w:after="140"/>
      </w:pPr>
      <w:r>
        <w:rPr>
          <w:b/>
          <w:bCs/>
          <w:color w:val="444444"/>
          <w:sz w:val="20"/>
          <w:szCs w:val="20"/>
        </w:rPr>
        <w:t xml:space="preserve">5-point Likert scale:  </w:t>
      </w:r>
      <w:r>
        <w:rPr>
          <w:color w:val="444444"/>
          <w:sz w:val="20"/>
          <w:szCs w:val="20"/>
        </w:rPr>
        <w:t xml:space="preserve">1 = Strongly Disagree   2 = Disagree   3 = Neutral   4 = Agree   5 = Strongly Agree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25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6300"/>
            <w:shd w:fill="1F3864" w:val="clear"/>
            <w:tcMar>
              <w:top w:type="dxa" w:w="80"/>
              <w:left w:type="dxa" w:w="100"/>
              <w:bottom w:type="dxa" w:w="80"/>
              <w:right w:type="dxa" w:w="100"/>
            </w:tcMar>
            <w:vAlign w:val="center"/>
          </w:tcPr>
          <w:p>
            <w:pPr>
              <w:jc w:val="left"/>
            </w:pPr>
            <w:r>
              <w:rPr>
                <w:b/>
                <w:bCs/>
                <w:color w:val="FFFFFF"/>
                <w:sz w:val="20"/>
                <w:szCs w:val="20"/>
              </w:rPr>
              <w:t xml:space="preserve">Statement</w:t>
            </w:r>
          </w:p>
        </w:tc>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Scale</w:t>
            </w:r>
          </w:p>
        </w:tc>
      </w:tr>
      <w:tr>
        <w:tc>
          <w:tcPr>
            <w:tcW w:type="dxa" w:w="500"/>
            <w:shd w:fill="FFFFFF" w:val="clear"/>
            <w:tcMar>
              <w:top w:type="dxa" w:w="80"/>
              <w:left w:type="dxa" w:w="100"/>
              <w:bottom w:type="dxa" w:w="80"/>
              <w:right w:type="dxa" w:w="100"/>
            </w:tcMar>
            <w:vAlign w:val="center"/>
          </w:tcPr>
          <w:p>
            <w:pPr>
              <w:jc w:val="center"/>
            </w:pPr>
            <w:r>
              <w:rPr>
                <w:b/>
                <w:bCs/>
                <w:color w:val="B7862C"/>
                <w:sz w:val="20"/>
                <w:szCs w:val="20"/>
              </w:rPr>
              <w:t xml:space="preserve">10</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 could quickly tell what the system is for and how it could help my work. (Appropriateness recognizability)</w:t>
            </w:r>
          </w:p>
        </w:tc>
        <w:tc>
          <w:tcPr>
            <w:tcW w:type="dxa" w:w="2500"/>
            <w:shd w:fill="FFFFFF"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EDF2F7" w:val="clear"/>
            <w:tcMar>
              <w:top w:type="dxa" w:w="80"/>
              <w:left w:type="dxa" w:w="100"/>
              <w:bottom w:type="dxa" w:w="80"/>
              <w:right w:type="dxa" w:w="100"/>
            </w:tcMar>
            <w:vAlign w:val="center"/>
          </w:tcPr>
          <w:p>
            <w:pPr>
              <w:jc w:val="center"/>
            </w:pPr>
            <w:r>
              <w:rPr>
                <w:b/>
                <w:bCs/>
                <w:color w:val="B7862C"/>
                <w:sz w:val="20"/>
                <w:szCs w:val="20"/>
              </w:rPr>
              <w:t xml:space="preserve">11</w:t>
            </w:r>
          </w:p>
        </w:tc>
        <w:tc>
          <w:tcPr>
            <w:tcW w:type="dxa" w:w="63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I could learn to use the dashboard's main features without much difficulty. (Learnability)</w:t>
            </w:r>
          </w:p>
        </w:tc>
        <w:tc>
          <w:tcPr>
            <w:tcW w:type="dxa" w:w="2500"/>
            <w:shd w:fill="EDF2F7"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FFFFFF" w:val="clear"/>
            <w:tcMar>
              <w:top w:type="dxa" w:w="80"/>
              <w:left w:type="dxa" w:w="100"/>
              <w:bottom w:type="dxa" w:w="80"/>
              <w:right w:type="dxa" w:w="100"/>
            </w:tcMar>
            <w:vAlign w:val="center"/>
          </w:tcPr>
          <w:p>
            <w:pPr>
              <w:jc w:val="center"/>
            </w:pPr>
            <w:r>
              <w:rPr>
                <w:b/>
                <w:bCs/>
                <w:color w:val="B7862C"/>
                <w:sz w:val="20"/>
                <w:szCs w:val="20"/>
              </w:rPr>
              <w:t xml:space="preserve">12</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Navigating the map, time slider, and rankings table felt straightforward. (Operability)</w:t>
            </w:r>
          </w:p>
        </w:tc>
        <w:tc>
          <w:tcPr>
            <w:tcW w:type="dxa" w:w="2500"/>
            <w:shd w:fill="FFFFFF"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EDF2F7" w:val="clear"/>
            <w:tcMar>
              <w:top w:type="dxa" w:w="80"/>
              <w:left w:type="dxa" w:w="100"/>
              <w:bottom w:type="dxa" w:w="80"/>
              <w:right w:type="dxa" w:w="100"/>
            </w:tcMar>
            <w:vAlign w:val="center"/>
          </w:tcPr>
          <w:p>
            <w:pPr>
              <w:jc w:val="center"/>
            </w:pPr>
            <w:r>
              <w:rPr>
                <w:b/>
                <w:bCs/>
                <w:color w:val="B7862C"/>
                <w:sz w:val="20"/>
                <w:szCs w:val="20"/>
              </w:rPr>
              <w:t xml:space="preserve">13</w:t>
            </w:r>
          </w:p>
        </w:tc>
        <w:tc>
          <w:tcPr>
            <w:tcW w:type="dxa" w:w="63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The system helped prevent or clearly flagged potential mistakes. (User error protection)</w:t>
            </w:r>
          </w:p>
        </w:tc>
        <w:tc>
          <w:tcPr>
            <w:tcW w:type="dxa" w:w="2500"/>
            <w:shd w:fill="EDF2F7"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FFFFFF" w:val="clear"/>
            <w:tcMar>
              <w:top w:type="dxa" w:w="80"/>
              <w:left w:type="dxa" w:w="100"/>
              <w:bottom w:type="dxa" w:w="80"/>
              <w:right w:type="dxa" w:w="100"/>
            </w:tcMar>
            <w:vAlign w:val="center"/>
          </w:tcPr>
          <w:p>
            <w:pPr>
              <w:jc w:val="center"/>
            </w:pPr>
            <w:r>
              <w:rPr>
                <w:b/>
                <w:bCs/>
                <w:color w:val="B7862C"/>
                <w:sz w:val="20"/>
                <w:szCs w:val="20"/>
              </w:rPr>
              <w:t xml:space="preserve">14</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The dashboard's layout and visuals were clear and professional. (User interface aesthetics)</w:t>
            </w:r>
          </w:p>
        </w:tc>
        <w:tc>
          <w:tcPr>
            <w:tcW w:type="dxa" w:w="2500"/>
            <w:shd w:fill="FFFFFF"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EDF2F7" w:val="clear"/>
            <w:tcMar>
              <w:top w:type="dxa" w:w="80"/>
              <w:left w:type="dxa" w:w="100"/>
              <w:bottom w:type="dxa" w:w="80"/>
              <w:right w:type="dxa" w:w="100"/>
            </w:tcMar>
            <w:vAlign w:val="center"/>
          </w:tcPr>
          <w:p>
            <w:pPr>
              <w:jc w:val="center"/>
            </w:pPr>
            <w:r>
              <w:rPr>
                <w:b/>
                <w:bCs/>
                <w:color w:val="B7862C"/>
                <w:sz w:val="20"/>
                <w:szCs w:val="20"/>
              </w:rPr>
              <w:t xml:space="preserve">15</w:t>
            </w:r>
          </w:p>
        </w:tc>
        <w:tc>
          <w:tcPr>
            <w:tcW w:type="dxa" w:w="63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The interface was usable regardless of my technical background. (Accessibility)</w:t>
            </w:r>
          </w:p>
        </w:tc>
        <w:tc>
          <w:tcPr>
            <w:tcW w:type="dxa" w:w="2500"/>
            <w:shd w:fill="EDF2F7"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bl>
    <w:p>
      <w:r>
        <w:br w:type="page"/>
      </w:r>
    </w:p>
    <w:p>
      <w:pPr>
        <w:pStyle w:val="Heading1"/>
        <w:pBdr>
          <w:bottom w:val="single" w:color="1F3864" w:sz="6" w:space="4"/>
        </w:pBdr>
        <w:spacing w:after="160" w:before="360"/>
      </w:pPr>
      <w:r>
        <w:rPr>
          <w:b/>
          <w:bCs/>
          <w:color w:val="1F3864"/>
          <w:sz w:val="28"/>
          <w:szCs w:val="28"/>
        </w:rPr>
        <w:t xml:space="preserve">Section 5 — Alignment with DOST Operations  (primarily for DOST respondents)</w:t>
      </w:r>
    </w:p>
    <w:p>
      <w:pPr>
        <w:spacing w:after="140" w:line="300"/>
      </w:pPr>
      <w:r>
        <w:rPr>
          <w:sz w:val="21"/>
          <w:szCs w:val="21"/>
        </w:rPr>
        <w:t xml:space="preserve">Please rate the following statements based on how well aiPHeed's outputs would fit DOST Region IV-A's own operations, using the 5-point Likert scale below.</w:t>
      </w:r>
    </w:p>
    <w:p>
      <w:pPr>
        <w:spacing w:after="140"/>
      </w:pPr>
      <w:r>
        <w:rPr>
          <w:b/>
          <w:bCs/>
          <w:color w:val="444444"/>
          <w:sz w:val="20"/>
          <w:szCs w:val="20"/>
        </w:rPr>
        <w:t xml:space="preserve">5-point Likert scale:  </w:t>
      </w:r>
      <w:r>
        <w:rPr>
          <w:color w:val="444444"/>
          <w:sz w:val="20"/>
          <w:szCs w:val="20"/>
        </w:rPr>
        <w:t xml:space="preserve">1 = Strongly Disagree   2 = Disagree   3 = Neutral   4 = Agree   5 = Strongly Agree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25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6300"/>
            <w:shd w:fill="1F3864" w:val="clear"/>
            <w:tcMar>
              <w:top w:type="dxa" w:w="80"/>
              <w:left w:type="dxa" w:w="100"/>
              <w:bottom w:type="dxa" w:w="80"/>
              <w:right w:type="dxa" w:w="100"/>
            </w:tcMar>
            <w:vAlign w:val="center"/>
          </w:tcPr>
          <w:p>
            <w:pPr>
              <w:jc w:val="left"/>
            </w:pPr>
            <w:r>
              <w:rPr>
                <w:b/>
                <w:bCs/>
                <w:color w:val="FFFFFF"/>
                <w:sz w:val="20"/>
                <w:szCs w:val="20"/>
              </w:rPr>
              <w:t xml:space="preserve">Statement</w:t>
            </w:r>
          </w:p>
        </w:tc>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Scale</w:t>
            </w:r>
          </w:p>
        </w:tc>
      </w:tr>
      <w:tr>
        <w:tc>
          <w:tcPr>
            <w:tcW w:type="dxa" w:w="500"/>
            <w:shd w:fill="FFFFFF" w:val="clear"/>
            <w:tcMar>
              <w:top w:type="dxa" w:w="80"/>
              <w:left w:type="dxa" w:w="100"/>
              <w:bottom w:type="dxa" w:w="80"/>
              <w:right w:type="dxa" w:w="100"/>
            </w:tcMar>
            <w:vAlign w:val="center"/>
          </w:tcPr>
          <w:p>
            <w:pPr>
              <w:jc w:val="center"/>
            </w:pPr>
            <w:r>
              <w:rPr>
                <w:b/>
                <w:bCs/>
                <w:color w:val="B7862C"/>
                <w:sz w:val="20"/>
                <w:szCs w:val="20"/>
              </w:rPr>
              <w:t xml:space="preserve">16</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aiPHeed's outputs could realistically support DOST Region IV-A's regional S&amp;T mandate.</w:t>
            </w:r>
          </w:p>
        </w:tc>
        <w:tc>
          <w:tcPr>
            <w:tcW w:type="dxa" w:w="2500"/>
            <w:shd w:fill="FFFFFF"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EDF2F7" w:val="clear"/>
            <w:tcMar>
              <w:top w:type="dxa" w:w="80"/>
              <w:left w:type="dxa" w:w="100"/>
              <w:bottom w:type="dxa" w:w="80"/>
              <w:right w:type="dxa" w:w="100"/>
            </w:tcMar>
            <w:vAlign w:val="center"/>
          </w:tcPr>
          <w:p>
            <w:pPr>
              <w:jc w:val="center"/>
            </w:pPr>
            <w:r>
              <w:rPr>
                <w:b/>
                <w:bCs/>
                <w:color w:val="B7862C"/>
                <w:sz w:val="20"/>
                <w:szCs w:val="20"/>
              </w:rPr>
              <w:t xml:space="preserve">17</w:t>
            </w:r>
          </w:p>
        </w:tc>
        <w:tc>
          <w:tcPr>
            <w:tcW w:type="dxa" w:w="63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The forecasts and alerts could be usefully cascaded to LGU social welfare offices or DSWD Field Office IV-A.</w:t>
            </w:r>
          </w:p>
        </w:tc>
        <w:tc>
          <w:tcPr>
            <w:tcW w:type="dxa" w:w="2500"/>
            <w:shd w:fill="EDF2F7"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FFFFFF" w:val="clear"/>
            <w:tcMar>
              <w:top w:type="dxa" w:w="80"/>
              <w:left w:type="dxa" w:w="100"/>
              <w:bottom w:type="dxa" w:w="80"/>
              <w:right w:type="dxa" w:w="100"/>
            </w:tcMar>
            <w:vAlign w:val="center"/>
          </w:tcPr>
          <w:p>
            <w:pPr>
              <w:jc w:val="center"/>
            </w:pPr>
            <w:r>
              <w:rPr>
                <w:b/>
                <w:bCs/>
                <w:color w:val="B7862C"/>
                <w:sz w:val="20"/>
                <w:szCs w:val="20"/>
              </w:rPr>
              <w:t xml:space="preserve">18</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The SHAP-attributed explanations would be sufficient for technical review/sign-off before publishing a forecast.</w:t>
            </w:r>
          </w:p>
        </w:tc>
        <w:tc>
          <w:tcPr>
            <w:tcW w:type="dxa" w:w="2500"/>
            <w:shd w:fill="FFFFFF"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r>
        <w:tc>
          <w:tcPr>
            <w:tcW w:type="dxa" w:w="500"/>
            <w:shd w:fill="EDF2F7" w:val="clear"/>
            <w:tcMar>
              <w:top w:type="dxa" w:w="80"/>
              <w:left w:type="dxa" w:w="100"/>
              <w:bottom w:type="dxa" w:w="80"/>
              <w:right w:type="dxa" w:w="100"/>
            </w:tcMar>
            <w:vAlign w:val="center"/>
          </w:tcPr>
          <w:p>
            <w:pPr>
              <w:jc w:val="center"/>
            </w:pPr>
            <w:r>
              <w:rPr>
                <w:b/>
                <w:bCs/>
                <w:color w:val="B7862C"/>
                <w:sz w:val="20"/>
                <w:szCs w:val="20"/>
              </w:rPr>
              <w:t xml:space="preserve">19</w:t>
            </w:r>
          </w:p>
        </w:tc>
        <w:tc>
          <w:tcPr>
            <w:tcW w:type="dxa" w:w="63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Relying on public data only (no restricted DOST/PSA data) makes aiPHeed easier to adopt operationally.</w:t>
            </w:r>
          </w:p>
        </w:tc>
        <w:tc>
          <w:tcPr>
            <w:tcW w:type="dxa" w:w="2500"/>
            <w:shd w:fill="EDF2F7" w:val="clear"/>
            <w:tcMar>
              <w:top w:type="dxa" w:w="80"/>
              <w:left w:type="dxa" w:w="100"/>
              <w:bottom w:type="dxa" w:w="80"/>
              <w:right w:type="dxa" w:w="100"/>
            </w:tcMar>
            <w:vAlign w:val="center"/>
          </w:tcPr>
          <w:p>
            <w:pPr>
              <w:jc w:val="center"/>
            </w:pPr>
            <w:r>
              <w:rPr>
                <w:b w:val="false"/>
                <w:bCs w:val="false"/>
                <w:color w:val="666666"/>
                <w:sz w:val="20"/>
                <w:szCs w:val="20"/>
              </w:rPr>
              <w:t xml:space="preserve">1 – 2 – 3 – 4 – 5</w:t>
            </w:r>
          </w:p>
        </w:tc>
      </w:tr>
    </w:tbl>
    <w:p>
      <w:pPr>
        <w:pStyle w:val="Heading1"/>
        <w:pBdr>
          <w:bottom w:val="single" w:color="1F3864" w:sz="6" w:space="4"/>
        </w:pBdr>
        <w:spacing w:after="160" w:before="360"/>
      </w:pPr>
      <w:r>
        <w:rPr>
          <w:b/>
          <w:bCs/>
          <w:color w:val="1F3864"/>
          <w:sz w:val="28"/>
          <w:szCs w:val="28"/>
        </w:rPr>
        <w:t xml:space="preserve">Section 6 — Open-Ended</w:t>
      </w:r>
    </w:p>
    <w:p>
      <w:pPr>
        <w:pStyle w:val="ListParagraph"/>
        <w:numPr>
          <w:ilvl w:val="0"/>
          <w:numId w:val="2"/>
        </w:numPr>
        <w:spacing w:after="80" w:line="290"/>
      </w:pPr>
      <w:r>
        <w:rPr>
          <w:sz w:val="21"/>
          <w:szCs w:val="21"/>
        </w:rPr>
        <w:t xml:space="preserve">What did you find most useful about aiPHeed?</w:t>
      </w:r>
    </w:p>
    <w:p>
      <w:pPr>
        <w:pStyle w:val="ListParagraph"/>
        <w:numPr>
          <w:ilvl w:val="0"/>
          <w:numId w:val="2"/>
        </w:numPr>
        <w:spacing w:after="80" w:line="290"/>
      </w:pPr>
      <w:r>
        <w:rPr>
          <w:sz w:val="21"/>
          <w:szCs w:val="21"/>
        </w:rPr>
        <w:t xml:space="preserve">How does aiPHeed compare to other food-security or risk-monitoring tools you've used, if any?</w:t>
      </w:r>
    </w:p>
    <w:p>
      <w:pPr>
        <w:pStyle w:val="ListParagraph"/>
        <w:numPr>
          <w:ilvl w:val="0"/>
          <w:numId w:val="2"/>
        </w:numPr>
        <w:spacing w:after="80" w:line="290"/>
      </w:pPr>
      <w:r>
        <w:rPr>
          <w:sz w:val="21"/>
          <w:szCs w:val="21"/>
        </w:rPr>
        <w:t xml:space="preserve">What features or improvements would you suggest before a wider pilot?</w:t>
      </w:r>
    </w:p>
    <w:p>
      <w:pPr>
        <w:pStyle w:val="ListParagraph"/>
        <w:numPr>
          <w:ilvl w:val="0"/>
          <w:numId w:val="2"/>
        </w:numPr>
        <w:spacing w:after="80" w:line="290"/>
      </w:pPr>
      <w:r>
        <w:rPr>
          <w:sz w:val="21"/>
          <w:szCs w:val="21"/>
        </w:rPr>
        <w:t xml:space="preserve">What challenges or difficulties, if any, did you experience while using the platform?</w:t>
      </w:r>
    </w:p>
    <w:p>
      <w:pPr>
        <w:pStyle w:val="ListParagraph"/>
        <w:numPr>
          <w:ilvl w:val="0"/>
          <w:numId w:val="2"/>
        </w:numPr>
        <w:spacing w:after="80" w:line="290"/>
      </w:pPr>
      <w:r>
        <w:rPr>
          <w:sz w:val="21"/>
          <w:szCs w:val="21"/>
        </w:rPr>
        <w:t xml:space="preserve">Would you recommend aiPHeed be piloted/adopted by DOST Region IV-A? Why or why not?</w:t>
      </w:r>
    </w:p>
    <w:p>
      <w:pPr>
        <w:pStyle w:val="Heading1"/>
        <w:pBdr>
          <w:bottom w:val="single" w:color="1F3864" w:sz="6" w:space="4"/>
        </w:pBdr>
        <w:spacing w:after="160" w:before="360"/>
      </w:pPr>
      <w:r>
        <w:rPr>
          <w:b/>
          <w:bCs/>
          <w:color w:val="1F3864"/>
          <w:sz w:val="28"/>
          <w:szCs w:val="28"/>
        </w:rPr>
        <w:t xml:space="preserve">Notes for DOST's Review</w:t>
      </w:r>
    </w:p>
    <w:p>
      <w:pPr>
        <w:pStyle w:val="ListParagraph"/>
        <w:numPr>
          <w:ilvl w:val="0"/>
          <w:numId w:val="2"/>
        </w:numPr>
        <w:spacing w:after="80" w:line="290"/>
      </w:pPr>
      <w:r>
        <w:rPr>
          <w:sz w:val="21"/>
          <w:szCs w:val="21"/>
        </w:rPr>
        <w:t xml:space="preserve">Please flag any item that feels redundant, unclear, or not applicable to your work.</w:t>
      </w:r>
    </w:p>
    <w:p>
      <w:pPr>
        <w:pStyle w:val="ListParagraph"/>
        <w:numPr>
          <w:ilvl w:val="0"/>
          <w:numId w:val="2"/>
        </w:numPr>
        <w:spacing w:after="80" w:line="290"/>
      </w:pPr>
      <w:r>
        <w:rPr>
          <w:sz w:val="21"/>
          <w:szCs w:val="21"/>
        </w:rPr>
        <w:t xml:space="preserve">Please flag any missing topic you'd expect a validation instrument like this to cover.</w:t>
      </w:r>
    </w:p>
    <w:p>
      <w:pPr>
        <w:pStyle w:val="ListParagraph"/>
        <w:numPr>
          <w:ilvl w:val="0"/>
          <w:numId w:val="2"/>
        </w:numPr>
        <w:spacing w:after="80" w:line="290"/>
      </w:pPr>
      <w:r>
        <w:rPr>
          <w:sz w:val="21"/>
          <w:szCs w:val="21"/>
        </w:rPr>
        <w:t xml:space="preserve">We are open to adopting a standard instrument (e.g., the classic 10-item System Usability Scale) instead of/alongside Section 4, if DOST prefers a more widely recognized benchmark.</w:t>
      </w:r>
    </w:p>
    <w:p>
      <w:pPr>
        <w:pStyle w:val="ListParagraph"/>
        <w:numPr>
          <w:ilvl w:val="0"/>
          <w:numId w:val="2"/>
        </w:numPr>
        <w:spacing w:after="80" w:line="290"/>
      </w:pPr>
      <w:r>
        <w:rPr>
          <w:sz w:val="21"/>
          <w:szCs w:val="21"/>
        </w:rPr>
        <w:t xml:space="preserve">This will be published as a Google Form once the model is integrated into the live dashboard, and the link shared with the ~30 DOST Region IV-A respondents and 20 general-public respondents.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aiPHeed — Post-Testing Questionnaire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2026-08-19T22:32:42.398Z</dcterms:created>
  <dcterms:modified xsi:type="dcterms:W3CDTF">2026-08-19T22:32:42.411Z</dcterms:modified>
</cp:coreProperties>
</file>

<file path=docProps/custom.xml><?xml version="1.0" encoding="utf-8"?>
<Properties xmlns="http://schemas.openxmlformats.org/officeDocument/2006/custom-properties" xmlns:vt="http://schemas.openxmlformats.org/officeDocument/2006/docPropsVTypes"/>
</file>