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jc w:val="center"/>
      </w:pPr>
      <w:r>
        <w:rPr>
          <w:rFonts w:ascii="Calibri" w:cs="Calibri" w:eastAsia="Calibri" w:hAnsi="Calibri"/>
          <w:b/>
          <w:bCs/>
          <w:i w:val="false"/>
          <w:iCs w:val="false"/>
          <w:color w:val="1F4E45"/>
          <w:sz w:val="30"/>
          <w:szCs w:val="30"/>
        </w:rPr>
        <w:t xml:space="preserve">PRE-DEVELOPMENT SURVEY QUESTIONNAIRE</w:t>
      </w:r>
    </w:p>
    <w:p>
      <w:pPr>
        <w:spacing w:after="40" w:before="0" w:line="264"/>
        <w:jc w:val="center"/>
      </w:pPr>
      <w:r>
        <w:rPr>
          <w:rFonts w:ascii="Calibri" w:cs="Calibri" w:eastAsia="Calibri" w:hAnsi="Calibri"/>
          <w:b/>
          <w:bCs/>
          <w:i w:val="false"/>
          <w:iCs w:val="false"/>
          <w:color w:val="000000"/>
          <w:sz w:val="23"/>
          <w:szCs w:val="23"/>
        </w:rPr>
        <w:t xml:space="preserve">Department of Agriculture – Regional Field Office IV-A (CALABARZON)</w:t>
      </w:r>
    </w:p>
    <w:p>
      <w:pPr>
        <w:spacing w:after="40" w:before="0" w:line="264"/>
        <w:jc w:val="center"/>
      </w:pPr>
      <w:r>
        <w:rPr>
          <w:rFonts w:ascii="Calibri" w:cs="Calibri" w:eastAsia="Calibri" w:hAnsi="Calibri"/>
          <w:b w:val="false"/>
          <w:bCs w:val="false"/>
          <w:i/>
          <w:iCs/>
          <w:color w:val="595959"/>
          <w:sz w:val="21"/>
          <w:szCs w:val="21"/>
        </w:rPr>
        <w:t xml:space="preserve">aiPHeed: A Food-Insecurity Risk-Indicator and Prediction System for Region IV-A</w:t>
      </w:r>
    </w:p>
    <w:p>
      <w:pPr>
        <w:spacing w:after="200" w:before="0" w:line="264"/>
        <w:jc w:val="center"/>
      </w:pPr>
      <w:r>
        <w:rPr>
          <w:rFonts w:ascii="Calibri" w:cs="Calibri" w:eastAsia="Calibri" w:hAnsi="Calibri"/>
          <w:b w:val="false"/>
          <w:bCs w:val="false"/>
          <w:i w:val="false"/>
          <w:iCs w:val="false"/>
          <w:color w:val="595959"/>
          <w:sz w:val="18"/>
          <w:szCs w:val="18"/>
        </w:rPr>
        <w:t xml:space="preserve">Instrument type: Pre-development (mandate, client requirements &amp; problem validation)  ·  20 items  ·  approx. 25–35 minutes</w:t>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1F6F4" w:val="clear"/>
            <w:tcMar>
              <w:top w:type="dxa" w:w="160"/>
              <w:left w:type="dxa" w:w="200"/>
              <w:bottom w:type="dxa" w:w="160"/>
              <w:right w:type="dxa" w:w="200"/>
            </w:tcMar>
          </w:tcPr>
          <w:p>
            <w:pPr>
              <w:spacing w:after="80" w:before="0" w:line="264"/>
              <w:jc w:val="left"/>
            </w:pPr>
            <w:r>
              <w:rPr>
                <w:rFonts w:ascii="Calibri" w:cs="Calibri" w:eastAsia="Calibri" w:hAnsi="Calibri"/>
                <w:b/>
                <w:bCs/>
                <w:i w:val="false"/>
                <w:iCs w:val="false"/>
                <w:color w:val="1F4E45"/>
                <w:sz w:val="20"/>
                <w:szCs w:val="20"/>
              </w:rPr>
              <w:t xml:space="preserve">PURPOSE OF THIS SURVEY</w:t>
            </w:r>
          </w:p>
          <w:p>
            <w:pPr>
              <w:spacing w:after="80" w:before="0" w:line="264"/>
              <w:jc w:val="left"/>
            </w:pPr>
            <w:r>
              <w:rPr>
                <w:rFonts w:ascii="Calibri" w:cs="Calibri" w:eastAsia="Calibri" w:hAnsi="Calibri"/>
                <w:b w:val="false"/>
                <w:bCs w:val="false"/>
                <w:i w:val="false"/>
                <w:iCs w:val="false"/>
                <w:color w:val="000000"/>
                <w:sz w:val="20"/>
                <w:szCs w:val="20"/>
              </w:rPr>
              <w:t xml:space="preserve">aiPHeed is a research and prediction tool that produces potential food-insecurity risk indicators for the provinces, cities, and municipalities of CALABARZON. It does not issue official food-insecurity classifications and cannot replace the official assessment procedures of any government agency.</w:t>
            </w:r>
          </w:p>
          <w:p>
            <w:pPr>
              <w:spacing w:after="80" w:before="0" w:line="264"/>
              <w:jc w:val="left"/>
            </w:pPr>
            <w:r>
              <w:rPr>
                <w:rFonts w:ascii="Calibri" w:cs="Calibri" w:eastAsia="Calibri" w:hAnsi="Calibri"/>
                <w:b w:val="false"/>
                <w:bCs w:val="false"/>
                <w:i w:val="false"/>
                <w:iCs w:val="false"/>
                <w:color w:val="000000"/>
                <w:sz w:val="20"/>
                <w:szCs w:val="20"/>
              </w:rPr>
              <w:t xml:space="preserve">We are approaching the Department of Agriculture Regional Field Office IV-A as the possible client and end-user of this system. Part I establishes whether food insecurity falls within your office’s mandate at all, or whether your office monitors it only indirectly — through production, supply, prices, and damage — while the mandate sits elsewhere. That answer is a finding of the study in its own right, and it determines who the system should be built for.</w:t>
            </w:r>
          </w:p>
          <w:p>
            <w:pPr>
              <w:spacing w:after="80" w:before="0" w:line="264"/>
              <w:jc w:val="left"/>
            </w:pPr>
            <w:r>
              <w:rPr>
                <w:rFonts w:ascii="Calibri" w:cs="Calibri" w:eastAsia="Calibri" w:hAnsi="Calibri"/>
                <w:b w:val="false"/>
                <w:bCs w:val="false"/>
                <w:i w:val="false"/>
                <w:iCs w:val="false"/>
                <w:color w:val="000000"/>
                <w:sz w:val="20"/>
                <w:szCs w:val="20"/>
              </w:rPr>
              <w:t xml:space="preserve">The remaining parts determine what the system is built to do — which data it uses, how far ahead it forecasts, how finely it maps risk, and what it must show on screen. The system is designed from this survey; it is not shown to you for approval after the fact.</w:t>
            </w:r>
          </w:p>
          <w:p>
            <w:pPr>
              <w:spacing w:after="0" w:before="0" w:line="264"/>
              <w:jc w:val="left"/>
            </w:pPr>
            <w:r>
              <w:rPr>
                <w:rFonts w:ascii="Calibri" w:cs="Calibri" w:eastAsia="Calibri" w:hAnsi="Calibri"/>
                <w:b w:val="false"/>
                <w:bCs w:val="false"/>
                <w:i w:val="false"/>
                <w:iCs w:val="false"/>
                <w:color w:val="000000"/>
                <w:sz w:val="20"/>
                <w:szCs w:val="20"/>
              </w:rPr>
              <w:t xml:space="preserve">There are no right or wrong answers. Where a question asks what your office does not do or cannot do, an honest answer is the most useful one — it is exactly what this study is trying to establish.</w:t>
            </w:r>
          </w:p>
        </w:tc>
      </w:tr>
    </w:tbl>
    <w:p>
      <w:pPr>
        <w:spacing w:after="120" w:before="0" w:line="264"/>
        <w:jc w:val="left"/>
      </w:pPr>
      <w:r>
        <w:rPr>
          <w:rFonts w:ascii="Calibri" w:cs="Calibri" w:eastAsia="Calibri" w:hAnsi="Calibri"/>
          <w:b w:val="false"/>
          <w:bCs w:val="false"/>
          <w:i w:val="false"/>
          <w:iCs w:val="false"/>
          <w:color w:val="000000"/>
          <w:sz w:val="21"/>
          <w:szCs w:val="21"/>
        </w:rPr>
        <w:t xml:space="preserve"/>
      </w:r>
    </w:p>
    <w:p>
      <w:pPr>
        <w:spacing w:after="100" w:before="0" w:line="264"/>
        <w:jc w:val="left"/>
      </w:pPr>
      <w:r>
        <w:rPr>
          <w:rFonts w:ascii="Calibri" w:cs="Calibri" w:eastAsia="Calibri" w:hAnsi="Calibri"/>
          <w:b/>
          <w:bCs/>
          <w:i w:val="false"/>
          <w:iCs w:val="false"/>
          <w:color w:val="000000"/>
          <w:sz w:val="21"/>
          <w:szCs w:val="21"/>
        </w:rPr>
        <w:t xml:space="preserve">Instructions: </w:t>
      </w:r>
      <w:r>
        <w:rPr>
          <w:rFonts w:ascii="Calibri" w:cs="Calibri" w:eastAsia="Calibri" w:hAnsi="Calibri"/>
          <w:b w:val="false"/>
          <w:bCs w:val="false"/>
          <w:i w:val="false"/>
          <w:iCs w:val="false"/>
          <w:color w:val="000000"/>
          <w:sz w:val="21"/>
          <w:szCs w:val="21"/>
        </w:rPr>
        <w:t xml:space="preserve">Tick (✓) all boxes that apply unless the item says otherwise. Where a question asks you to rank, write numbers on the blanks (1 = highest). Please answer the short italicised follow-up under each item — those explanations are the most valuable part of your response.</w:t>
      </w:r>
    </w:p>
    <w:p>
      <w:pPr>
        <w:spacing w:after="100" w:before="0" w:line="264"/>
        <w:jc w:val="left"/>
      </w:pPr>
      <w:r>
        <w:rPr>
          <w:rFonts w:ascii="Calibri" w:cs="Calibri" w:eastAsia="Calibri" w:hAnsi="Calibri"/>
          <w:b/>
          <w:bCs/>
          <w:i w:val="false"/>
          <w:iCs w:val="false"/>
          <w:color w:val="000000"/>
          <w:sz w:val="21"/>
          <w:szCs w:val="21"/>
        </w:rPr>
        <w:t xml:space="preserve">If your office does not monitor food insecurity: </w:t>
      </w:r>
      <w:r>
        <w:rPr>
          <w:rFonts w:ascii="Calibri" w:cs="Calibri" w:eastAsia="Calibri" w:hAnsi="Calibri"/>
          <w:b w:val="false"/>
          <w:bCs w:val="false"/>
          <w:i w:val="false"/>
          <w:iCs w:val="false"/>
          <w:color w:val="000000"/>
          <w:sz w:val="21"/>
          <w:szCs w:val="21"/>
        </w:rPr>
        <w:t xml:space="preserve">please still complete the whole questionnaire, answering from the standpoint of what your office </w:t>
      </w:r>
      <w:r>
        <w:rPr>
          <w:rFonts w:ascii="Calibri" w:cs="Calibri" w:eastAsia="Calibri" w:hAnsi="Calibri"/>
          <w:b w:val="false"/>
          <w:bCs w:val="false"/>
          <w:i/>
          <w:iCs/>
          <w:color w:val="000000"/>
          <w:sz w:val="21"/>
          <w:szCs w:val="21"/>
        </w:rPr>
        <w:t xml:space="preserve">does</w:t>
      </w:r>
      <w:r>
        <w:rPr>
          <w:rFonts w:ascii="Calibri" w:cs="Calibri" w:eastAsia="Calibri" w:hAnsi="Calibri"/>
          <w:b w:val="false"/>
          <w:bCs w:val="false"/>
          <w:i w:val="false"/>
          <w:iCs w:val="false"/>
          <w:color w:val="000000"/>
          <w:sz w:val="21"/>
          <w:szCs w:val="21"/>
        </w:rPr>
        <w:t xml:space="preserve"> monitor — and tell us in Item 1 which office or agency we should also be speaking with.</w:t>
      </w:r>
    </w:p>
    <w:p>
      <w:pPr>
        <w:spacing w:after="100" w:before="0" w:line="264"/>
        <w:jc w:val="left"/>
      </w:pPr>
      <w:r>
        <w:rPr>
          <w:rFonts w:ascii="Calibri" w:cs="Calibri" w:eastAsia="Calibri" w:hAnsi="Calibri"/>
          <w:b/>
          <w:bCs/>
          <w:i w:val="false"/>
          <w:iCs w:val="false"/>
          <w:color w:val="000000"/>
          <w:sz w:val="21"/>
          <w:szCs w:val="21"/>
        </w:rPr>
        <w:t xml:space="preserve">Consent: </w:t>
      </w:r>
      <w:r>
        <w:rPr>
          <w:rFonts w:ascii="Calibri" w:cs="Calibri" w:eastAsia="Calibri" w:hAnsi="Calibri"/>
          <w:b w:val="false"/>
          <w:bCs w:val="false"/>
          <w:i w:val="false"/>
          <w:iCs w:val="false"/>
          <w:color w:val="000000"/>
          <w:sz w:val="21"/>
          <w:szCs w:val="21"/>
        </w:rPr>
        <w:t xml:space="preserve">Responses will be used solely for an undergraduate/graduate thesis. Your office may be cited by name, or anonymised on request.</w:t>
      </w:r>
    </w:p>
    <w:p>
      <w:pPr>
        <w:spacing w:after="140" w:before="0" w:line="264"/>
        <w:jc w:val="left"/>
      </w:pPr>
      <w:r>
        <w:rPr>
          <w:rFonts w:ascii="Calibri" w:cs="Calibri" w:eastAsia="Calibri" w:hAnsi="Calibri"/>
          <w:b w:val="false"/>
          <w:bCs w:val="false"/>
          <w:i w:val="false"/>
          <w:iCs w:val="false"/>
          <w:color w:val="000000"/>
          <w:sz w:val="21"/>
          <w:szCs w:val="21"/>
        </w:rPr>
        <w:t xml:space="preserve">I consent to the use of these responses in this study, and my office may be:   ☐ cited by name   ☐ anonymised.</w:t>
      </w:r>
    </w:p>
    <w:p>
      <w:pPr>
        <w:pBdr>
          <w:bottom w:val="single" w:color="B7B7B7" w:sz="4" w:space="2"/>
        </w:pBdr>
        <w:spacing w:after="200" w:before="0" w:line="264"/>
      </w:pPr>
      <w:r>
        <w:rPr>
          <w:rFonts w:ascii="Calibri" w:cs="Calibri" w:eastAsia="Calibri" w:hAnsi="Calibri"/>
          <w:sz w:val="21"/>
          <w:szCs w:val="21"/>
        </w:rPr>
        <w:t xml:space="preserve">Signature:</w:t>
      </w:r>
    </w:p>
    <w:p>
      <w:pPr>
        <w:pStyle w:val="Heading1"/>
        <w:pBdr>
          <w:bottom w:val="single" w:color="1F4E45" w:sz="8" w:space="4"/>
        </w:pBdr>
        <w:spacing w:after="60" w:before="320"/>
      </w:pPr>
      <w:r>
        <w:rPr>
          <w:rFonts w:ascii="Calibri" w:cs="Calibri" w:eastAsia="Calibri" w:hAnsi="Calibri"/>
          <w:b/>
          <w:bCs/>
          <w:color w:val="1F4E45"/>
          <w:sz w:val="24"/>
          <w:szCs w:val="24"/>
        </w:rPr>
        <w:t xml:space="preserve">RESPONDENT PROFILE</w:t>
      </w:r>
    </w:p>
    <w:p>
      <w:pPr>
        <w:spacing w:after="160" w:before="0" w:line="264"/>
        <w:jc w:val="left"/>
      </w:pPr>
      <w:r>
        <w:rPr>
          <w:rFonts w:ascii="Calibri" w:cs="Calibri" w:eastAsia="Calibri" w:hAnsi="Calibri"/>
          <w:b w:val="false"/>
          <w:bCs w:val="false"/>
          <w:i/>
          <w:iCs/>
          <w:color w:val="595959"/>
          <w:sz w:val="19"/>
          <w:szCs w:val="19"/>
        </w:rPr>
        <w:t xml:space="preserve">For classification only — not counted among the 20 items.</w:t>
      </w:r>
    </w:p>
    <w:p>
      <w:pPr>
        <w:pBdr>
          <w:bottom w:val="single" w:color="B7B7B7" w:sz="4" w:space="2"/>
        </w:pBdr>
        <w:spacing w:after="200" w:before="0" w:line="264"/>
      </w:pPr>
      <w:r>
        <w:rPr>
          <w:rFonts w:ascii="Calibri" w:cs="Calibri" w:eastAsia="Calibri" w:hAnsi="Calibri"/>
          <w:sz w:val="21"/>
          <w:szCs w:val="21"/>
        </w:rPr>
        <w:t xml:space="preserve">Name (optional):</w:t>
      </w:r>
    </w:p>
    <w:p>
      <w:pPr>
        <w:pBdr>
          <w:bottom w:val="single" w:color="B7B7B7" w:sz="4" w:space="2"/>
        </w:pBdr>
        <w:spacing w:after="200" w:before="0" w:line="264"/>
      </w:pPr>
      <w:r>
        <w:rPr>
          <w:rFonts w:ascii="Calibri" w:cs="Calibri" w:eastAsia="Calibri" w:hAnsi="Calibri"/>
          <w:sz w:val="21"/>
          <w:szCs w:val="21"/>
        </w:rPr>
        <w:t xml:space="preserve">Position / Designation:</w:t>
      </w:r>
    </w:p>
    <w:p>
      <w:pPr>
        <w:pBdr>
          <w:bottom w:val="single" w:color="B7B7B7" w:sz="4" w:space="2"/>
        </w:pBdr>
        <w:spacing w:after="200" w:before="0" w:line="264"/>
      </w:pPr>
      <w:r>
        <w:rPr>
          <w:rFonts w:ascii="Calibri" w:cs="Calibri" w:eastAsia="Calibri" w:hAnsi="Calibri"/>
          <w:sz w:val="21"/>
          <w:szCs w:val="21"/>
        </w:rPr>
        <w:t xml:space="preserve">Office, Division or Unit:</w:t>
      </w:r>
    </w:p>
    <w:p>
      <w:pPr>
        <w:pBdr>
          <w:bottom w:val="single" w:color="B7B7B7" w:sz="4" w:space="2"/>
        </w:pBdr>
        <w:spacing w:after="200" w:before="0" w:line="264"/>
      </w:pPr>
      <w:r>
        <w:rPr>
          <w:rFonts w:ascii="Calibri" w:cs="Calibri" w:eastAsia="Calibri" w:hAnsi="Calibri"/>
          <w:sz w:val="21"/>
          <w:szCs w:val="21"/>
        </w:rPr>
        <w:t xml:space="preserve">Provinces / LGUs under your monitoring responsibility:</w:t>
      </w:r>
    </w:p>
    <w:p>
      <w:pPr>
        <w:pBdr>
          <w:bottom w:val="single" w:color="B7B7B7" w:sz="4" w:space="2"/>
        </w:pBdr>
        <w:spacing w:after="200" w:before="0" w:line="264"/>
      </w:pPr>
      <w:r>
        <w:rPr>
          <w:rFonts w:ascii="Calibri" w:cs="Calibri" w:eastAsia="Calibri" w:hAnsi="Calibri"/>
          <w:sz w:val="21"/>
          <w:szCs w:val="21"/>
        </w:rPr>
        <w:t xml:space="preserve">Years in this role:</w:t>
      </w:r>
    </w:p>
    <w:p>
      <w:pPr>
        <w:pBdr>
          <w:bottom w:val="single" w:color="B7B7B7" w:sz="4" w:space="2"/>
        </w:pBdr>
        <w:spacing w:after="200" w:before="0" w:line="264"/>
      </w:pPr>
      <w:r>
        <w:rPr>
          <w:rFonts w:ascii="Calibri" w:cs="Calibri" w:eastAsia="Calibri" w:hAnsi="Calibri"/>
          <w:sz w:val="21"/>
          <w:szCs w:val="21"/>
        </w:rPr>
        <w:t xml:space="preserve">Date:</w:t>
      </w:r>
    </w:p>
    <w:p>
      <w:pPr>
        <w:pStyle w:val="Heading1"/>
        <w:pBdr>
          <w:bottom w:val="single" w:color="1F4E45" w:sz="8" w:space="4"/>
        </w:pBdr>
        <w:spacing w:after="60" w:before="320"/>
      </w:pPr>
      <w:r>
        <w:rPr>
          <w:rFonts w:ascii="Calibri" w:cs="Calibri" w:eastAsia="Calibri" w:hAnsi="Calibri"/>
          <w:b/>
          <w:bCs/>
          <w:color w:val="1F4E45"/>
          <w:sz w:val="24"/>
          <w:szCs w:val="24"/>
        </w:rPr>
        <w:t xml:space="preserve">PART I · MANDATE AND SCOPE</w:t>
      </w:r>
    </w:p>
    <w:p>
      <w:pPr>
        <w:spacing w:after="160" w:before="0" w:line="264"/>
        <w:jc w:val="left"/>
      </w:pPr>
      <w:r>
        <w:rPr>
          <w:rFonts w:ascii="Calibri" w:cs="Calibri" w:eastAsia="Calibri" w:hAnsi="Calibri"/>
          <w:b w:val="false"/>
          <w:bCs w:val="false"/>
          <w:i/>
          <w:iCs/>
          <w:color w:val="595959"/>
          <w:sz w:val="19"/>
          <w:szCs w:val="19"/>
        </w:rPr>
        <w:t xml:space="preserve">Items 1–3 establish whether food insecurity is something your office monitors at all, what it monitors instead, and what your office means by a food problem. Please answer these before the rest.</w:t>
      </w:r>
    </w:p>
    <w:p>
      <w:pPr>
        <w:spacing w:after="60" w:before="200" w:line="264"/>
        <w:jc w:val="left"/>
      </w:pPr>
      <w:r>
        <w:rPr>
          <w:rFonts w:ascii="Calibri" w:cs="Calibri" w:eastAsia="Calibri" w:hAnsi="Calibri"/>
          <w:b/>
          <w:bCs/>
          <w:i w:val="false"/>
          <w:iCs w:val="false"/>
          <w:color w:val="1F4E45"/>
          <w:sz w:val="21"/>
          <w:szCs w:val="21"/>
        </w:rPr>
        <w:t xml:space="preserve">1. </w:t>
      </w:r>
      <w:r>
        <w:rPr>
          <w:rFonts w:ascii="Calibri" w:cs="Calibri" w:eastAsia="Calibri" w:hAnsi="Calibri"/>
          <w:b/>
          <w:bCs/>
          <w:i w:val="false"/>
          <w:iCs w:val="false"/>
          <w:color w:val="000000"/>
          <w:sz w:val="21"/>
          <w:szCs w:val="21"/>
        </w:rPr>
        <w:t xml:space="preserve">Does your office monitor food insecurity?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 — directly and by that name. We track food insecurity or hunger as such.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Indirectly — we monitor food production, supply, damage and prices; food insecurity is inferred from these, not measured.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 — food insecurity is another agency’s mandate. Our mandate is agricultural production and the welfare of farmers and fisherfolk.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Partly — only during declared calamities or emergencies.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sure / it is not clearly assigned.</w:t>
      </w:r>
    </w:p>
    <w:p>
      <w:pPr>
        <w:spacing w:after="30" w:before="70" w:line="264"/>
        <w:ind w:left="340"/>
        <w:jc w:val="left"/>
      </w:pPr>
      <w:r>
        <w:rPr>
          <w:rFonts w:ascii="Calibri" w:cs="Calibri" w:eastAsia="Calibri" w:hAnsi="Calibri"/>
          <w:b/>
          <w:bCs/>
          <w:i/>
          <w:iCs/>
          <w:color w:val="000000"/>
          <w:sz w:val="21"/>
          <w:szCs w:val="21"/>
        </w:rPr>
        <w:t xml:space="preserve">1a. </w:t>
      </w:r>
      <w:r>
        <w:rPr>
          <w:rFonts w:ascii="Calibri" w:cs="Calibri" w:eastAsia="Calibri" w:hAnsi="Calibri"/>
          <w:b w:val="false"/>
          <w:bCs w:val="false"/>
          <w:i/>
          <w:iCs/>
          <w:color w:val="000000"/>
          <w:sz w:val="21"/>
          <w:szCs w:val="21"/>
        </w:rPr>
        <w:t xml:space="preserve">If your office does monitor it: what exactly do you measure, how often, and under what programme or report?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1b. </w:t>
      </w:r>
      <w:r>
        <w:rPr>
          <w:rFonts w:ascii="Calibri" w:cs="Calibri" w:eastAsia="Calibri" w:hAnsi="Calibri"/>
          <w:b w:val="false"/>
          <w:bCs w:val="false"/>
          <w:i/>
          <w:iCs/>
          <w:color w:val="000000"/>
          <w:sz w:val="21"/>
          <w:szCs w:val="21"/>
        </w:rPr>
        <w:t xml:space="preserve">If it is another office’s mandate: which office or agency in Region IV-A holds it (NNC IV-A, DSWD FO IV-A, DOH CHD IV-A, the Regional Nutrition Committee, provincial/city nutrition offices, another)? Who should we also be speaking with?</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1c. </w:t>
      </w:r>
      <w:r>
        <w:rPr>
          <w:rFonts w:ascii="Calibri" w:cs="Calibri" w:eastAsia="Calibri" w:hAnsi="Calibri"/>
          <w:b w:val="false"/>
          <w:bCs w:val="false"/>
          <w:i/>
          <w:iCs/>
          <w:color w:val="000000"/>
          <w:sz w:val="21"/>
          <w:szCs w:val="21"/>
        </w:rPr>
        <w:t xml:space="preserve">What term does your office actually use for this in its own reports — “food insecurity”, “food sufficiency”, “food security”, “hunger”, “food supply situation”, something else?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2. </w:t>
      </w:r>
      <w:r>
        <w:rPr>
          <w:rFonts w:ascii="Calibri" w:cs="Calibri" w:eastAsia="Calibri" w:hAnsi="Calibri"/>
          <w:b/>
          <w:bCs/>
          <w:i w:val="false"/>
          <w:iCs w:val="false"/>
          <w:color w:val="000000"/>
          <w:sz w:val="21"/>
          <w:szCs w:val="21"/>
        </w:rPr>
        <w:t xml:space="preserve">Which of the following does your office actually track, and which belong to another agency? (Tick one box per row; tick both if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1660"/>
        <w:gridCol w:w="1900"/>
        <w:gridCol w:w="1420"/>
      </w:tblGrid>
      <w:tr>
        <w:trPr>
          <w:tblHeader/>
        </w:trPr>
        <w:tc>
          <w:tcPr>
            <w:tcW w:type="dxa" w:w="438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What is monitored</w:t>
            </w:r>
          </w:p>
        </w:tc>
        <w:tc>
          <w:tcPr>
            <w:tcW w:type="dxa" w:w="16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track this</w:t>
            </w:r>
          </w:p>
        </w:tc>
        <w:tc>
          <w:tcPr>
            <w:tcW w:type="dxa" w:w="19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Another agency’s mandate</w:t>
            </w:r>
          </w:p>
        </w:tc>
        <w:tc>
          <w:tcPr>
            <w:tcW w:type="dxa" w:w="14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do not see this data at all</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 production volume and harvest levels</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Crop and fishery damage from typhoons, pests, disease</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Retail and farmgate prices of key commodities</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 supply, stocks and movement into/within the region</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Farmer and fisherfolk income and livelihood</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Household food consumption or families going hungry</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Child malnutrition, stunting, wasting</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 assistance, ayuda and relief distribution</w:t>
            </w:r>
          </w:p>
        </w:tc>
        <w:tc>
          <w:tcPr>
            <w:tcW w:type="dxa" w:w="16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38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Household poverty and unemployment</w:t>
            </w:r>
          </w:p>
        </w:tc>
        <w:tc>
          <w:tcPr>
            <w:tcW w:type="dxa" w:w="16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9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30" w:before="70" w:line="264"/>
        <w:ind w:left="340"/>
        <w:jc w:val="left"/>
      </w:pPr>
      <w:r>
        <w:rPr>
          <w:rFonts w:ascii="Calibri" w:cs="Calibri" w:eastAsia="Calibri" w:hAnsi="Calibri"/>
          <w:b/>
          <w:bCs/>
          <w:i/>
          <w:iCs/>
          <w:color w:val="000000"/>
          <w:sz w:val="21"/>
          <w:szCs w:val="21"/>
        </w:rPr>
        <w:t xml:space="preserve">2a. </w:t>
      </w:r>
      <w:r>
        <w:rPr>
          <w:rFonts w:ascii="Calibri" w:cs="Calibri" w:eastAsia="Calibri" w:hAnsi="Calibri"/>
          <w:b w:val="false"/>
          <w:bCs w:val="false"/>
          <w:i/>
          <w:iCs/>
          <w:color w:val="000000"/>
          <w:sz w:val="21"/>
          <w:szCs w:val="21"/>
        </w:rPr>
        <w:t xml:space="preserve">Which single row above is closest to what your office would call its core responsibility?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3. </w:t>
      </w:r>
      <w:r>
        <w:rPr>
          <w:rFonts w:ascii="Calibri" w:cs="Calibri" w:eastAsia="Calibri" w:hAnsi="Calibri"/>
          <w:b/>
          <w:bCs/>
          <w:i w:val="false"/>
          <w:iCs w:val="false"/>
          <w:color w:val="000000"/>
          <w:sz w:val="21"/>
          <w:szCs w:val="21"/>
        </w:rPr>
        <w:t xml:space="preserve">When your office reports that a locality has a “food problem,” what does that concretely mean? (Check all that apply, then mark the ONE closest to your office’s usual meaning with ★)</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Production or harvest in that locality has fallen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Crops, livestock or fisheries there were damaged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Prices of staple food there have risen sharply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Farmers or fisherfolk there have lost income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supply into that locality has been disrupted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Families there cannot afford enough food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Families there are actually going hungry / skipping meals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Malnutrition among children there is rising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That locality has become dependent on relief and ayuda</w:t>
      </w:r>
    </w:p>
    <w:p>
      <w:pPr>
        <w:spacing w:after="30" w:before="70" w:line="264"/>
        <w:ind w:left="340"/>
        <w:jc w:val="left"/>
      </w:pPr>
      <w:r>
        <w:rPr>
          <w:rFonts w:ascii="Calibri" w:cs="Calibri" w:eastAsia="Calibri" w:hAnsi="Calibri"/>
          <w:b/>
          <w:bCs/>
          <w:i/>
          <w:iCs/>
          <w:color w:val="000000"/>
          <w:sz w:val="21"/>
          <w:szCs w:val="21"/>
        </w:rPr>
        <w:t xml:space="preserve">3a. </w:t>
      </w:r>
      <w:r>
        <w:rPr>
          <w:rFonts w:ascii="Calibri" w:cs="Calibri" w:eastAsia="Calibri" w:hAnsi="Calibri"/>
          <w:b w:val="false"/>
          <w:bCs w:val="false"/>
          <w:i/>
          <w:iCs/>
          <w:color w:val="000000"/>
          <w:sz w:val="21"/>
          <w:szCs w:val="21"/>
        </w:rPr>
        <w:t xml:space="preserve">In practice, how would your office come to know that families in a specific municipality are going hungry — through which report, person, or channel?</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II · CURRENT MONITORING PRACTICE AND ITS LIMITS</w:t>
      </w:r>
    </w:p>
    <w:p>
      <w:pPr>
        <w:spacing w:after="160" w:before="0" w:line="264"/>
        <w:jc w:val="left"/>
      </w:pPr>
      <w:r>
        <w:rPr>
          <w:rFonts w:ascii="Calibri" w:cs="Calibri" w:eastAsia="Calibri" w:hAnsi="Calibri"/>
          <w:b w:val="false"/>
          <w:bCs w:val="false"/>
          <w:i/>
          <w:iCs/>
          <w:color w:val="595959"/>
          <w:sz w:val="19"/>
          <w:szCs w:val="19"/>
        </w:rPr>
        <w:t xml:space="preserve">Items 4–7 cover the things your office does monitor: what tools exist, how finely, how far ahead, and where they fall short.</w:t>
      </w:r>
    </w:p>
    <w:p>
      <w:pPr>
        <w:spacing w:after="60" w:before="200" w:line="264"/>
        <w:jc w:val="left"/>
      </w:pPr>
      <w:r>
        <w:rPr>
          <w:rFonts w:ascii="Calibri" w:cs="Calibri" w:eastAsia="Calibri" w:hAnsi="Calibri"/>
          <w:b/>
          <w:bCs/>
          <w:i w:val="false"/>
          <w:iCs w:val="false"/>
          <w:color w:val="1F4E45"/>
          <w:sz w:val="21"/>
          <w:szCs w:val="21"/>
        </w:rPr>
        <w:t xml:space="preserve">4. </w:t>
      </w:r>
      <w:r>
        <w:rPr>
          <w:rFonts w:ascii="Calibri" w:cs="Calibri" w:eastAsia="Calibri" w:hAnsi="Calibri"/>
          <w:b/>
          <w:bCs/>
          <w:i w:val="false"/>
          <w:iCs w:val="false"/>
          <w:color w:val="000000"/>
          <w:sz w:val="21"/>
          <w:szCs w:val="21"/>
        </w:rPr>
        <w:t xml:space="preserve">Which of the following does your office currently use to monitor the conditions identified in Item 2? (Check all that apply)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 Bantay Presyo / regular price monitoring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Crop and fishery damage assessment reports (RaDAR, DRRM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RSBSA farmer and fisherfolk registry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Spreadsheets consolidated manually from provincial/field offices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GIS or mapping system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dashboard or management information system — please name: ______________________</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Reports from field technicians and LGU agricultural officers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News, radio, or social media monitoring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 dedicated system for this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4a. </w:t>
      </w:r>
      <w:r>
        <w:rPr>
          <w:rFonts w:ascii="Calibri" w:cs="Calibri" w:eastAsia="Calibri" w:hAnsi="Calibri"/>
          <w:b w:val="false"/>
          <w:bCs w:val="false"/>
          <w:i/>
          <w:iCs/>
          <w:color w:val="000000"/>
          <w:sz w:val="21"/>
          <w:szCs w:val="21"/>
        </w:rPr>
        <w:t xml:space="preserve">Which one do you rely on most, and why?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5. </w:t>
      </w:r>
      <w:r>
        <w:rPr>
          <w:rFonts w:ascii="Calibri" w:cs="Calibri" w:eastAsia="Calibri" w:hAnsi="Calibri"/>
          <w:b/>
          <w:bCs/>
          <w:i w:val="false"/>
          <w:iCs w:val="false"/>
          <w:color w:val="000000"/>
          <w:sz w:val="21"/>
          <w:szCs w:val="21"/>
        </w:rPr>
        <w:t xml:space="preserve">What is the finest geographic level at which your office can actually monitor these conditions today?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Region-wide only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City /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Barangay</w:t>
      </w:r>
    </w:p>
    <w:p>
      <w:pPr>
        <w:spacing w:after="30" w:before="70" w:line="264"/>
        <w:ind w:left="340"/>
        <w:jc w:val="left"/>
      </w:pPr>
      <w:r>
        <w:rPr>
          <w:rFonts w:ascii="Calibri" w:cs="Calibri" w:eastAsia="Calibri" w:hAnsi="Calibri"/>
          <w:b/>
          <w:bCs/>
          <w:i/>
          <w:iCs/>
          <w:color w:val="000000"/>
          <w:sz w:val="21"/>
          <w:szCs w:val="21"/>
        </w:rPr>
        <w:t xml:space="preserve">5a. </w:t>
      </w:r>
      <w:r>
        <w:rPr>
          <w:rFonts w:ascii="Calibri" w:cs="Calibri" w:eastAsia="Calibri" w:hAnsi="Calibri"/>
          <w:b w:val="false"/>
          <w:bCs w:val="false"/>
          <w:i/>
          <w:iCs/>
          <w:color w:val="000000"/>
          <w:sz w:val="21"/>
          <w:szCs w:val="21"/>
        </w:rPr>
        <w:t xml:space="preserve">If you cannot currently monitor at city/municipality level, what prevents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6. </w:t>
      </w:r>
      <w:r>
        <w:rPr>
          <w:rFonts w:ascii="Calibri" w:cs="Calibri" w:eastAsia="Calibri" w:hAnsi="Calibri"/>
          <w:b/>
          <w:bCs/>
          <w:i w:val="false"/>
          <w:iCs w:val="false"/>
          <w:color w:val="000000"/>
          <w:sz w:val="21"/>
          <w:szCs w:val="21"/>
        </w:rPr>
        <w:t xml:space="preserve">How forward-looking is your current monitoring? (Choose one from each row)</w:t>
      </w:r>
    </w:p>
    <w:p>
      <w:pPr>
        <w:spacing w:after="40" w:before="90" w:line="264"/>
        <w:ind w:left="340"/>
        <w:jc w:val="left"/>
      </w:pPr>
      <w:r>
        <w:rPr>
          <w:rFonts w:ascii="Calibri" w:cs="Calibri" w:eastAsia="Calibri" w:hAnsi="Calibri"/>
          <w:b/>
          <w:bCs/>
          <w:i w:val="false"/>
          <w:iCs w:val="false"/>
          <w:color w:val="000000"/>
          <w:sz w:val="20"/>
          <w:szCs w:val="20"/>
        </w:rPr>
        <w:t xml:space="preserve">Orientation of the tools you use: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Entirely descriptive — they report what already happened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descriptive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An even mix</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predictive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Entirely predictive</w:t>
      </w:r>
    </w:p>
    <w:p>
      <w:pPr>
        <w:spacing w:after="40" w:before="90" w:line="264"/>
        <w:ind w:left="340"/>
        <w:jc w:val="left"/>
      </w:pPr>
      <w:r>
        <w:rPr>
          <w:rFonts w:ascii="Calibri" w:cs="Calibri" w:eastAsia="Calibri" w:hAnsi="Calibri"/>
          <w:b/>
          <w:bCs/>
          <w:i w:val="false"/>
          <w:iCs w:val="false"/>
          <w:color w:val="000000"/>
          <w:sz w:val="20"/>
          <w:szCs w:val="20"/>
        </w:rPr>
        <w:t xml:space="preserve">How far in advance your office can anticipate a developing problem in a specific LGU:</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We usually learn about it only after it has happened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few days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1–2 weeks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one month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one quarter (3 months)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More than one quarter</w:t>
      </w:r>
    </w:p>
    <w:p>
      <w:pPr>
        <w:spacing w:after="30" w:before="70" w:line="264"/>
        <w:ind w:left="340"/>
        <w:jc w:val="left"/>
      </w:pPr>
      <w:r>
        <w:rPr>
          <w:rFonts w:ascii="Calibri" w:cs="Calibri" w:eastAsia="Calibri" w:hAnsi="Calibri"/>
          <w:b/>
          <w:bCs/>
          <w:i/>
          <w:iCs/>
          <w:color w:val="000000"/>
          <w:sz w:val="21"/>
          <w:szCs w:val="21"/>
        </w:rPr>
        <w:t xml:space="preserve">6a. </w:t>
      </w:r>
      <w:r>
        <w:rPr>
          <w:rFonts w:ascii="Calibri" w:cs="Calibri" w:eastAsia="Calibri" w:hAnsi="Calibri"/>
          <w:b w:val="false"/>
          <w:bCs w:val="false"/>
          <w:i/>
          <w:iCs/>
          <w:color w:val="000000"/>
          <w:sz w:val="21"/>
          <w:szCs w:val="21"/>
        </w:rPr>
        <w:t xml:space="preserve">If any tool is predictive, name it and state what it forecasts. What gives you the earliest warning today, and how does it reach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7. </w:t>
      </w:r>
      <w:r>
        <w:rPr>
          <w:rFonts w:ascii="Calibri" w:cs="Calibri" w:eastAsia="Calibri" w:hAnsi="Calibri"/>
          <w:b/>
          <w:bCs/>
          <w:i w:val="false"/>
          <w:iCs w:val="false"/>
          <w:color w:val="000000"/>
          <w:sz w:val="21"/>
          <w:szCs w:val="21"/>
        </w:rPr>
        <w:t xml:space="preserve">Mark the THREE most serious limitations of your current monitoring setup. (Write 1, 2, 3 — 1 = most serious)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Information arrives too late to act 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 breakdown below the provincial level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Weak coverage of far-flung, upland, or coastal LGUs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Heavy manual effort to consolidate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Data is siloed across offices and agencies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 forecasting or early-warning capability at all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 single view that combines prices, weather, production and household welfare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We see production and prices but not their effect on households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Difficulty justifying and prioritising which LGUs to assist first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7a. </w:t>
      </w:r>
      <w:r>
        <w:rPr>
          <w:rFonts w:ascii="Calibri" w:cs="Calibri" w:eastAsia="Calibri" w:hAnsi="Calibri"/>
          <w:b w:val="false"/>
          <w:bCs w:val="false"/>
          <w:i/>
          <w:iCs/>
          <w:color w:val="000000"/>
          <w:sz w:val="21"/>
          <w:szCs w:val="21"/>
        </w:rPr>
        <w:t xml:space="preserve">Describe one recent instance where this limitation affected your office’s response.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III · TIMELINESS AND CREDIBILITY OF DATA</w:t>
      </w:r>
    </w:p>
    <w:p>
      <w:pPr>
        <w:spacing w:after="160" w:before="0" w:line="264"/>
        <w:jc w:val="left"/>
      </w:pPr>
      <w:r>
        <w:rPr>
          <w:rFonts w:ascii="Calibri" w:cs="Calibri" w:eastAsia="Calibri" w:hAnsi="Calibri"/>
          <w:b w:val="false"/>
          <w:bCs w:val="false"/>
          <w:i/>
          <w:iCs/>
          <w:color w:val="595959"/>
          <w:sz w:val="19"/>
          <w:szCs w:val="19"/>
        </w:rPr>
        <w:t xml:space="preserve">Items 8–9 test whether official statistics arrive quickly enough, and whether a faster proxy is defensible.</w:t>
      </w:r>
    </w:p>
    <w:p>
      <w:pPr>
        <w:spacing w:after="60" w:before="200" w:line="264"/>
        <w:jc w:val="left"/>
      </w:pPr>
      <w:r>
        <w:rPr>
          <w:rFonts w:ascii="Calibri" w:cs="Calibri" w:eastAsia="Calibri" w:hAnsi="Calibri"/>
          <w:b/>
          <w:bCs/>
          <w:i w:val="false"/>
          <w:iCs w:val="false"/>
          <w:color w:val="1F4E45"/>
          <w:sz w:val="21"/>
          <w:szCs w:val="21"/>
        </w:rPr>
        <w:t xml:space="preserve">8. </w:t>
      </w:r>
      <w:r>
        <w:rPr>
          <w:rFonts w:ascii="Calibri" w:cs="Calibri" w:eastAsia="Calibri" w:hAnsi="Calibri"/>
          <w:b/>
          <w:bCs/>
          <w:i w:val="false"/>
          <w:iCs w:val="false"/>
          <w:color w:val="000000"/>
          <w:sz w:val="21"/>
          <w:szCs w:val="21"/>
        </w:rPr>
        <w:t xml:space="preserve">For each source below, indicate whether your office uses it, whether you would trust it inside a prediction system, and how long it typically takes before you can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600"/>
        <w:gridCol w:w="2260"/>
      </w:tblGrid>
      <w:tr>
        <w:trPr>
          <w:tblHeader/>
        </w:trPr>
        <w:tc>
          <w:tcPr>
            <w:tcW w:type="dxa" w:w="400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Data source</w:t>
            </w:r>
          </w:p>
        </w:tc>
        <w:tc>
          <w:tcPr>
            <w:tcW w:type="dxa" w:w="15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use it now</w:t>
            </w:r>
          </w:p>
        </w:tc>
        <w:tc>
          <w:tcPr>
            <w:tcW w:type="dxa" w:w="16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We would trust it</w:t>
            </w:r>
          </w:p>
        </w:tc>
        <w:tc>
          <w:tcPr>
            <w:tcW w:type="dxa" w:w="22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Typical lag before usable</w:t>
            </w:r>
          </w:p>
        </w:tc>
      </w:tr>
      <w:tr>
        <w:tc>
          <w:tcPr>
            <w:tcW w:type="dxa" w:w="40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PSA food CPI and food inflation</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PSA / DA Bantay Presyo commodity retail prices</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PAGASA rainfall data and seasonal outlooks</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BSP OFW remittance data</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SWS self-rated hunger surveys</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DOST-FNRI nutrition surveys (ENNS)</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DA and BFAR crop and fishery damage reports</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DSWD DROMIC and 4Ps data</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RSBSA farmer and fisherfolk registry</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r>
        <w:tc>
          <w:tcPr>
            <w:tcW w:type="dxa" w:w="40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Local news reporting (online and print)</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22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
            </w:r>
          </w:p>
        </w:tc>
      </w:tr>
    </w:tbl>
    <w:p>
      <w:pPr>
        <w:spacing w:after="60" w:before="60" w:line="264"/>
        <w:jc w:val="left"/>
      </w:pPr>
      <w:r>
        <w:rPr>
          <w:rFonts w:ascii="Calibri" w:cs="Calibri" w:eastAsia="Calibri" w:hAnsi="Calibri"/>
          <w:b w:val="false"/>
          <w:bCs w:val="false"/>
          <w:i/>
          <w:iCs/>
          <w:color w:val="595959"/>
          <w:sz w:val="18"/>
          <w:szCs w:val="18"/>
        </w:rPr>
        <w:t xml:space="preserve">Write the lag in the last column (e.g. “same week”, “1 month”, “1 quarter”, “1 year”, “never reaches us”).</w:t>
      </w:r>
    </w:p>
    <w:p>
      <w:pPr>
        <w:spacing w:after="30" w:before="70" w:line="264"/>
        <w:ind w:left="340"/>
        <w:jc w:val="left"/>
      </w:pPr>
      <w:r>
        <w:rPr>
          <w:rFonts w:ascii="Calibri" w:cs="Calibri" w:eastAsia="Calibri" w:hAnsi="Calibri"/>
          <w:b/>
          <w:bCs/>
          <w:i/>
          <w:iCs/>
          <w:color w:val="000000"/>
          <w:sz w:val="21"/>
          <w:szCs w:val="21"/>
        </w:rPr>
        <w:t xml:space="preserve">8a. </w:t>
      </w:r>
      <w:r>
        <w:rPr>
          <w:rFonts w:ascii="Calibri" w:cs="Calibri" w:eastAsia="Calibri" w:hAnsi="Calibri"/>
          <w:b w:val="false"/>
          <w:bCs w:val="false"/>
          <w:i/>
          <w:iCs/>
          <w:color w:val="000000"/>
          <w:sz w:val="21"/>
          <w:szCs w:val="21"/>
        </w:rPr>
        <w:t xml:space="preserve">Which figure do you wait longest for, and what do you do in the meantime?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8b. </w:t>
      </w:r>
      <w:r>
        <w:rPr>
          <w:rFonts w:ascii="Calibri" w:cs="Calibri" w:eastAsia="Calibri" w:hAnsi="Calibri"/>
          <w:b w:val="false"/>
          <w:bCs w:val="false"/>
          <w:i/>
          <w:iCs/>
          <w:color w:val="000000"/>
          <w:sz w:val="21"/>
          <w:szCs w:val="21"/>
        </w:rPr>
        <w:t xml:space="preserve">Which authoritative source that we have NOT listed would you expect a credible system to include?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9. </w:t>
      </w:r>
      <w:r>
        <w:rPr>
          <w:rFonts w:ascii="Calibri" w:cs="Calibri" w:eastAsia="Calibri" w:hAnsi="Calibri"/>
          <w:b/>
          <w:bCs/>
          <w:i w:val="false"/>
          <w:iCs w:val="false"/>
          <w:color w:val="000000"/>
          <w:sz w:val="21"/>
          <w:szCs w:val="21"/>
        </w:rPr>
        <w:t xml:space="preserve">To what extent do you agree with this statement: “Local news reporting about crop damage, fish kills, price spikes, or relief distribution often signals food-security stress in an LGU before it appears in official statistics.”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Neutral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agree</w:t>
      </w:r>
    </w:p>
    <w:p>
      <w:pPr>
        <w:spacing w:after="30" w:before="70" w:line="264"/>
        <w:ind w:left="340"/>
        <w:jc w:val="left"/>
      </w:pPr>
      <w:r>
        <w:rPr>
          <w:rFonts w:ascii="Calibri" w:cs="Calibri" w:eastAsia="Calibri" w:hAnsi="Calibri"/>
          <w:b/>
          <w:bCs/>
          <w:i/>
          <w:iCs/>
          <w:color w:val="000000"/>
          <w:sz w:val="21"/>
          <w:szCs w:val="21"/>
        </w:rPr>
        <w:t xml:space="preserve">9a. </w:t>
      </w:r>
      <w:r>
        <w:rPr>
          <w:rFonts w:ascii="Calibri" w:cs="Calibri" w:eastAsia="Calibri" w:hAnsi="Calibri"/>
          <w:b w:val="false"/>
          <w:bCs w:val="false"/>
          <w:i/>
          <w:iCs/>
          <w:color w:val="000000"/>
          <w:sz w:val="21"/>
          <w:szCs w:val="21"/>
        </w:rPr>
        <w:t xml:space="preserve">Where would this assumption break down or mislead? (e.g. LGUs that are rarely covered by news)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IV · WHAT DRIVES FOOD INSECURITY IN CALABARZON</w:t>
      </w:r>
    </w:p>
    <w:p>
      <w:pPr>
        <w:spacing w:after="160" w:before="0" w:line="264"/>
        <w:jc w:val="left"/>
      </w:pPr>
      <w:r>
        <w:rPr>
          <w:rFonts w:ascii="Calibri" w:cs="Calibri" w:eastAsia="Calibri" w:hAnsi="Calibri"/>
          <w:b w:val="false"/>
          <w:bCs w:val="false"/>
          <w:i/>
          <w:iCs/>
          <w:color w:val="595959"/>
          <w:sz w:val="19"/>
          <w:szCs w:val="19"/>
        </w:rPr>
        <w:t xml:space="preserve">Items 10–12 determine which features the prediction model should be built on.</w:t>
      </w:r>
    </w:p>
    <w:p>
      <w:pPr>
        <w:spacing w:after="60" w:before="200" w:line="264"/>
        <w:jc w:val="left"/>
      </w:pPr>
      <w:r>
        <w:rPr>
          <w:rFonts w:ascii="Calibri" w:cs="Calibri" w:eastAsia="Calibri" w:hAnsi="Calibri"/>
          <w:b/>
          <w:bCs/>
          <w:i w:val="false"/>
          <w:iCs w:val="false"/>
          <w:color w:val="1F4E45"/>
          <w:sz w:val="21"/>
          <w:szCs w:val="21"/>
        </w:rPr>
        <w:t xml:space="preserve">10. </w:t>
      </w:r>
      <w:r>
        <w:rPr>
          <w:rFonts w:ascii="Calibri" w:cs="Calibri" w:eastAsia="Calibri" w:hAnsi="Calibri"/>
          <w:b/>
          <w:bCs/>
          <w:i w:val="false"/>
          <w:iCs w:val="false"/>
          <w:color w:val="000000"/>
          <w:sz w:val="21"/>
          <w:szCs w:val="21"/>
        </w:rPr>
        <w:t xml:space="preserve">Rank the following dimensions of food insecurity by how important they are in Region IV-A. (1 = most important, 6 = least)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 Availability — production and fishery losses (crop damage, low harvest, fish kill, ASF)</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B · Access and affordability — price spikes; poverty limiting what families can buy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C · Utilization and nutrition — malnutrition, stunting, feeding programmes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D · Stability — typhoons, floods, displacement, supply-chain disruption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E · Hunger and deprivation — dependence on relief, ayuda, food packs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 · Livelihood — job or remittance loss reducing food-buying power</w:t>
      </w:r>
    </w:p>
    <w:p>
      <w:pPr>
        <w:spacing w:after="30" w:before="70" w:line="264"/>
        <w:ind w:left="340"/>
        <w:jc w:val="left"/>
      </w:pPr>
      <w:r>
        <w:rPr>
          <w:rFonts w:ascii="Calibri" w:cs="Calibri" w:eastAsia="Calibri" w:hAnsi="Calibri"/>
          <w:b/>
          <w:bCs/>
          <w:i/>
          <w:iCs/>
          <w:color w:val="000000"/>
          <w:sz w:val="21"/>
          <w:szCs w:val="21"/>
        </w:rPr>
        <w:t xml:space="preserve">10a. </w:t>
      </w:r>
      <w:r>
        <w:rPr>
          <w:rFonts w:ascii="Calibri" w:cs="Calibri" w:eastAsia="Calibri" w:hAnsi="Calibri"/>
          <w:b w:val="false"/>
          <w:bCs w:val="false"/>
          <w:i/>
          <w:iCs/>
          <w:color w:val="000000"/>
          <w:sz w:val="21"/>
          <w:szCs w:val="21"/>
        </w:rPr>
        <w:t xml:space="preserve">Is any important dimension missing from this list, or mislabelled for our region?</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11. </w:t>
      </w:r>
      <w:r>
        <w:rPr>
          <w:rFonts w:ascii="Calibri" w:cs="Calibri" w:eastAsia="Calibri" w:hAnsi="Calibri"/>
          <w:b/>
          <w:bCs/>
          <w:i w:val="false"/>
          <w:iCs w:val="false"/>
          <w:color w:val="000000"/>
          <w:sz w:val="21"/>
          <w:szCs w:val="21"/>
        </w:rPr>
        <w:t xml:space="preserve">Which CALABARZON-specific shocks must the system detect, and which commodities must it track?</w:t>
      </w:r>
    </w:p>
    <w:p>
      <w:pPr>
        <w:spacing w:after="40" w:before="90" w:line="264"/>
        <w:ind w:left="340"/>
        <w:jc w:val="left"/>
      </w:pPr>
      <w:r>
        <w:rPr>
          <w:rFonts w:ascii="Calibri" w:cs="Calibri" w:eastAsia="Calibri" w:hAnsi="Calibri"/>
          <w:b/>
          <w:bCs/>
          <w:i w:val="false"/>
          <w:iCs w:val="false"/>
          <w:color w:val="000000"/>
          <w:sz w:val="20"/>
          <w:szCs w:val="20"/>
        </w:rPr>
        <w:t xml:space="preserve">Shocks — check all that apply; mark your top three with ★</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Taal Volcano activity and ashfall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Fish kills and red tide in Taal Lake and Laguna de Bay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African Swine Fever and avian influenza outbreaks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Typhoon corridor impacts in Quezon and Rizal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Conversion of agricultural land in Cavite and Laguna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Rice and vegetable price surges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Drought / El Niño and irrigation shortfalls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Flooding along the Laguna lakeshore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40" w:before="90" w:line="264"/>
        <w:ind w:left="340"/>
        <w:jc w:val="left"/>
      </w:pPr>
      <w:r>
        <w:rPr>
          <w:rFonts w:ascii="Calibri" w:cs="Calibri" w:eastAsia="Calibri" w:hAnsi="Calibri"/>
          <w:b/>
          <w:bCs/>
          <w:i w:val="false"/>
          <w:iCs w:val="false"/>
          <w:color w:val="000000"/>
          <w:sz w:val="20"/>
          <w:szCs w:val="20"/>
        </w:rPr>
        <w:t xml:space="preserve">Commodities — check all that must be tracked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Rice     ☐ Corn     ☐ Leafy &amp; fruit vegetables     ☐ Fish (milkfish, tilapia, marine)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Poultry &amp; eggs     ☐ Hogs &amp; pork     ☐ Coconut     ☐ Coffee     ☐ Sugarcane</w:t>
      </w:r>
    </w:p>
    <w:p>
      <w:pPr>
        <w:spacing w:after="30" w:before="70" w:line="264"/>
        <w:ind w:left="340"/>
        <w:jc w:val="left"/>
      </w:pPr>
      <w:r>
        <w:rPr>
          <w:rFonts w:ascii="Calibri" w:cs="Calibri" w:eastAsia="Calibri" w:hAnsi="Calibri"/>
          <w:b/>
          <w:bCs/>
          <w:i/>
          <w:iCs/>
          <w:color w:val="000000"/>
          <w:sz w:val="21"/>
          <w:szCs w:val="21"/>
        </w:rPr>
        <w:t xml:space="preserve">11a. </w:t>
      </w:r>
      <w:r>
        <w:rPr>
          <w:rFonts w:ascii="Calibri" w:cs="Calibri" w:eastAsia="Calibri" w:hAnsi="Calibri"/>
          <w:b w:val="false"/>
          <w:bCs w:val="false"/>
          <w:i/>
          <w:iCs/>
          <w:color w:val="000000"/>
          <w:sz w:val="21"/>
          <w:szCs w:val="21"/>
        </w:rPr>
        <w:t xml:space="preserve">Do the priority commodities differ by province? Please note which, where.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12. </w:t>
      </w:r>
      <w:r>
        <w:rPr>
          <w:rFonts w:ascii="Calibri" w:cs="Calibri" w:eastAsia="Calibri" w:hAnsi="Calibri"/>
          <w:b/>
          <w:bCs/>
          <w:i w:val="false"/>
          <w:iCs w:val="false"/>
          <w:color w:val="000000"/>
          <w:sz w:val="21"/>
          <w:szCs w:val="21"/>
        </w:rPr>
        <w:t xml:space="preserve">Which of the following should the system actually USE in computing an LGU’s food-insecurity risk score? (Tick ✓ those you consider necessary; mark ✗ for any you consider irrelevant or misleading)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inflation and the food CPI trend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Retail prices of key commodities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Rainfall anomaly and weather deviation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Reported crop and fishery damage / production volume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OFW remittance trend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Poverty and unemployment indicators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Volume and severity of food-related local news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Frequency and scale of relief / ayuda distribution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Nutrition indicators (stunting, wasting prevalence)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Number of registered farmers and fisherfolk affected (RSBSA)</w:t>
      </w:r>
    </w:p>
    <w:p>
      <w:pPr>
        <w:spacing w:after="30" w:before="70" w:line="264"/>
        <w:ind w:left="340"/>
        <w:jc w:val="left"/>
      </w:pPr>
      <w:r>
        <w:rPr>
          <w:rFonts w:ascii="Calibri" w:cs="Calibri" w:eastAsia="Calibri" w:hAnsi="Calibri"/>
          <w:b/>
          <w:bCs/>
          <w:i/>
          <w:iCs/>
          <w:color w:val="000000"/>
          <w:sz w:val="21"/>
          <w:szCs w:val="21"/>
        </w:rPr>
        <w:t xml:space="preserve">12a. </w:t>
      </w:r>
      <w:r>
        <w:rPr>
          <w:rFonts w:ascii="Calibri" w:cs="Calibri" w:eastAsia="Calibri" w:hAnsi="Calibri"/>
          <w:b w:val="false"/>
          <w:bCs w:val="false"/>
          <w:i/>
          <w:iCs/>
          <w:color w:val="000000"/>
          <w:sz w:val="21"/>
          <w:szCs w:val="21"/>
        </w:rPr>
        <w:t xml:space="preserve">If you could add ONE predictor not listed here, what would it be — and why does it matter?</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V · GEOGRAPHIC LEVEL OF PREDICTION</w:t>
      </w:r>
    </w:p>
    <w:p>
      <w:pPr>
        <w:spacing w:after="160" w:before="0" w:line="264"/>
        <w:jc w:val="left"/>
      </w:pPr>
      <w:r>
        <w:rPr>
          <w:rFonts w:ascii="Calibri" w:cs="Calibri" w:eastAsia="Calibri" w:hAnsi="Calibri"/>
          <w:b w:val="false"/>
          <w:bCs w:val="false"/>
          <w:i/>
          <w:iCs/>
          <w:color w:val="595959"/>
          <w:sz w:val="19"/>
          <w:szCs w:val="19"/>
        </w:rPr>
        <w:t xml:space="preserve">Items 13–15 decide whether the system forecasts by province only, or down to each city and municipality.</w:t>
      </w:r>
    </w:p>
    <w:p>
      <w:pPr>
        <w:spacing w:after="60" w:before="200" w:line="264"/>
        <w:jc w:val="left"/>
      </w:pPr>
      <w:r>
        <w:rPr>
          <w:rFonts w:ascii="Calibri" w:cs="Calibri" w:eastAsia="Calibri" w:hAnsi="Calibri"/>
          <w:b/>
          <w:bCs/>
          <w:i w:val="false"/>
          <w:iCs w:val="false"/>
          <w:color w:val="1F4E45"/>
          <w:sz w:val="21"/>
          <w:szCs w:val="21"/>
        </w:rPr>
        <w:t xml:space="preserve">13. </w:t>
      </w:r>
      <w:r>
        <w:rPr>
          <w:rFonts w:ascii="Calibri" w:cs="Calibri" w:eastAsia="Calibri" w:hAnsi="Calibri"/>
          <w:b/>
          <w:bCs/>
          <w:i w:val="false"/>
          <w:iCs w:val="false"/>
          <w:color w:val="000000"/>
          <w:sz w:val="21"/>
          <w:szCs w:val="21"/>
        </w:rPr>
        <w:t xml:space="preserve">At which level would a food-insecurity risk prediction be MOST useful to your office?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Region only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City /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Barangay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Province AND city/municipality together</w:t>
      </w:r>
    </w:p>
    <w:p>
      <w:pPr>
        <w:spacing w:after="30" w:before="70" w:line="264"/>
        <w:ind w:left="340"/>
        <w:jc w:val="left"/>
      </w:pPr>
      <w:r>
        <w:rPr>
          <w:rFonts w:ascii="Calibri" w:cs="Calibri" w:eastAsia="Calibri" w:hAnsi="Calibri"/>
          <w:b/>
          <w:bCs/>
          <w:i/>
          <w:iCs/>
          <w:color w:val="000000"/>
          <w:sz w:val="21"/>
          <w:szCs w:val="21"/>
        </w:rPr>
        <w:t xml:space="preserve">13a. </w:t>
      </w:r>
      <w:r>
        <w:rPr>
          <w:rFonts w:ascii="Calibri" w:cs="Calibri" w:eastAsia="Calibri" w:hAnsi="Calibri"/>
          <w:b w:val="false"/>
          <w:bCs w:val="false"/>
          <w:i/>
          <w:iCs/>
          <w:color w:val="000000"/>
          <w:sz w:val="21"/>
          <w:szCs w:val="21"/>
        </w:rPr>
        <w:t xml:space="preserve">Why that level? What does your office do with information at that scale that it cannot do at a coarser one?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14. </w:t>
      </w:r>
      <w:r>
        <w:rPr>
          <w:rFonts w:ascii="Calibri" w:cs="Calibri" w:eastAsia="Calibri" w:hAnsi="Calibri"/>
          <w:b/>
          <w:bCs/>
          <w:i w:val="false"/>
          <w:iCs w:val="false"/>
          <w:color w:val="000000"/>
          <w:sz w:val="21"/>
          <w:szCs w:val="21"/>
        </w:rPr>
        <w:t xml:space="preserve">If the system produced a quarterly risk prediction for each of the 142 cities and municipalities of Region IV-A, how valuable would that be to your office?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valuable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Slightly valuable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Moderately valuable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Very valuable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Essential</w:t>
      </w:r>
    </w:p>
    <w:p>
      <w:pPr>
        <w:spacing w:after="30" w:before="70" w:line="264"/>
        <w:ind w:left="340"/>
        <w:jc w:val="left"/>
      </w:pPr>
      <w:r>
        <w:rPr>
          <w:rFonts w:ascii="Calibri" w:cs="Calibri" w:eastAsia="Calibri" w:hAnsi="Calibri"/>
          <w:b/>
          <w:bCs/>
          <w:i/>
          <w:iCs/>
          <w:color w:val="000000"/>
          <w:sz w:val="21"/>
          <w:szCs w:val="21"/>
        </w:rPr>
        <w:t xml:space="preserve">14a. </w:t>
      </w:r>
      <w:r>
        <w:rPr>
          <w:rFonts w:ascii="Calibri" w:cs="Calibri" w:eastAsia="Calibri" w:hAnsi="Calibri"/>
          <w:b w:val="false"/>
          <w:bCs w:val="false"/>
          <w:i/>
          <w:iCs/>
          <w:color w:val="000000"/>
          <w:sz w:val="21"/>
          <w:szCs w:val="21"/>
        </w:rPr>
        <w:t xml:space="preserve">Name one concrete decision, report, or process in your office that a city/municipality-level risk ranking would directly inform.</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15. </w:t>
      </w:r>
      <w:r>
        <w:rPr>
          <w:rFonts w:ascii="Calibri" w:cs="Calibri" w:eastAsia="Calibri" w:hAnsi="Calibri"/>
          <w:b/>
          <w:bCs/>
          <w:i w:val="false"/>
          <w:iCs w:val="false"/>
          <w:color w:val="000000"/>
          <w:sz w:val="21"/>
          <w:szCs w:val="21"/>
        </w:rPr>
        <w:t xml:space="preserve">For LGUs with very little available data, the system can either (a) publish an estimate carrying a visible “LIMITED SIGNAL” low-confidence warning, or (b) publish nothing at all for that LGU. Which do you prefer?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Publish, with a clear low-confidence flag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 Publish nothing for that LGU</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Either is acceptable</w:t>
      </w:r>
    </w:p>
    <w:p>
      <w:pPr>
        <w:spacing w:after="30" w:before="70" w:line="264"/>
        <w:ind w:left="340"/>
        <w:jc w:val="left"/>
      </w:pPr>
      <w:r>
        <w:rPr>
          <w:rFonts w:ascii="Calibri" w:cs="Calibri" w:eastAsia="Calibri" w:hAnsi="Calibri"/>
          <w:b/>
          <w:bCs/>
          <w:i/>
          <w:iCs/>
          <w:color w:val="000000"/>
          <w:sz w:val="21"/>
          <w:szCs w:val="21"/>
        </w:rPr>
        <w:t xml:space="preserve">15a. </w:t>
      </w:r>
      <w:r>
        <w:rPr>
          <w:rFonts w:ascii="Calibri" w:cs="Calibri" w:eastAsia="Calibri" w:hAnsi="Calibri"/>
          <w:b w:val="false"/>
          <w:bCs w:val="false"/>
          <w:i/>
          <w:iCs/>
          <w:color w:val="000000"/>
          <w:sz w:val="21"/>
          <w:szCs w:val="21"/>
        </w:rPr>
        <w:t xml:space="preserve">What would make a low-confidence output still useful to you rather than misleading?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pStyle w:val="Heading1"/>
        <w:pBdr>
          <w:bottom w:val="single" w:color="1F4E45" w:sz="8" w:space="4"/>
        </w:pBdr>
        <w:spacing w:after="60" w:before="320"/>
      </w:pPr>
      <w:r>
        <w:rPr>
          <w:rFonts w:ascii="Calibri" w:cs="Calibri" w:eastAsia="Calibri" w:hAnsi="Calibri"/>
          <w:b/>
          <w:bCs/>
          <w:color w:val="1F4E45"/>
          <w:sz w:val="24"/>
          <w:szCs w:val="24"/>
        </w:rPr>
        <w:t xml:space="preserve">PART VI · OUTPUT, CADENCE AND USABILITY</w:t>
      </w:r>
    </w:p>
    <w:p>
      <w:pPr>
        <w:spacing w:after="160" w:before="0" w:line="264"/>
        <w:jc w:val="left"/>
      </w:pPr>
      <w:r>
        <w:rPr>
          <w:rFonts w:ascii="Calibri" w:cs="Calibri" w:eastAsia="Calibri" w:hAnsi="Calibri"/>
          <w:b w:val="false"/>
          <w:bCs w:val="false"/>
          <w:i/>
          <w:iCs/>
          <w:color w:val="595959"/>
          <w:sz w:val="19"/>
          <w:szCs w:val="19"/>
        </w:rPr>
        <w:t xml:space="preserve">Items 16–18 become direct build requirements for the system’s interface and alerting logic.</w:t>
      </w:r>
    </w:p>
    <w:p>
      <w:pPr>
        <w:spacing w:after="60" w:before="200" w:line="264"/>
        <w:jc w:val="left"/>
      </w:pPr>
      <w:r>
        <w:rPr>
          <w:rFonts w:ascii="Calibri" w:cs="Calibri" w:eastAsia="Calibri" w:hAnsi="Calibri"/>
          <w:b/>
          <w:bCs/>
          <w:i w:val="false"/>
          <w:iCs w:val="false"/>
          <w:color w:val="1F4E45"/>
          <w:sz w:val="21"/>
          <w:szCs w:val="21"/>
        </w:rPr>
        <w:t xml:space="preserve">16. </w:t>
      </w:r>
      <w:r>
        <w:rPr>
          <w:rFonts w:ascii="Calibri" w:cs="Calibri" w:eastAsia="Calibri" w:hAnsi="Calibri"/>
          <w:b/>
          <w:bCs/>
          <w:i w:val="false"/>
          <w:iCs w:val="false"/>
          <w:color w:val="000000"/>
          <w:sz w:val="21"/>
          <w:szCs w:val="21"/>
        </w:rPr>
        <w:t xml:space="preserve">What forecast cadence and lead time would be operationally meaningful for your office? (Choose one from each row)</w:t>
      </w:r>
    </w:p>
    <w:p>
      <w:pPr>
        <w:spacing w:after="30" w:before="0" w:line="264"/>
        <w:ind w:left="340"/>
        <w:jc w:val="left"/>
      </w:pPr>
      <w:r>
        <w:rPr>
          <w:rFonts w:ascii="Calibri" w:cs="Calibri" w:eastAsia="Calibri" w:hAnsi="Calibri"/>
          <w:b w:val="false"/>
          <w:bCs w:val="false"/>
          <w:i w:val="false"/>
          <w:iCs w:val="false"/>
          <w:color w:val="000000"/>
          <w:sz w:val="21"/>
          <w:szCs w:val="21"/>
        </w:rPr>
        <w:t xml:space="preserve">Cadence:      ☐ Weekly     ☐ Monthly     ☐ Quarterly     ☐ Semi-annual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Lead time:    ☐ 1 month ahead     ☐ 3 months (one quarter) ahead     ☐ 6 months ahead</w:t>
      </w:r>
    </w:p>
    <w:p>
      <w:pPr>
        <w:spacing w:after="30" w:before="70" w:line="264"/>
        <w:ind w:left="340"/>
        <w:jc w:val="left"/>
      </w:pPr>
      <w:r>
        <w:rPr>
          <w:rFonts w:ascii="Calibri" w:cs="Calibri" w:eastAsia="Calibri" w:hAnsi="Calibri"/>
          <w:b/>
          <w:bCs/>
          <w:i/>
          <w:iCs/>
          <w:color w:val="000000"/>
          <w:sz w:val="21"/>
          <w:szCs w:val="21"/>
        </w:rPr>
        <w:t xml:space="preserve">16a. </w:t>
      </w:r>
      <w:r>
        <w:rPr>
          <w:rFonts w:ascii="Calibri" w:cs="Calibri" w:eastAsia="Calibri" w:hAnsi="Calibri"/>
          <w:b w:val="false"/>
          <w:bCs w:val="false"/>
          <w:i/>
          <w:iCs/>
          <w:color w:val="000000"/>
          <w:sz w:val="21"/>
          <w:szCs w:val="21"/>
        </w:rPr>
        <w:t xml:space="preserve">Which planning, reporting, or budget cycle does this need to align with?</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17. </w:t>
      </w:r>
      <w:r>
        <w:rPr>
          <w:rFonts w:ascii="Calibri" w:cs="Calibri" w:eastAsia="Calibri" w:hAnsi="Calibri"/>
          <w:b/>
          <w:bCs/>
          <w:i w:val="false"/>
          <w:iCs w:val="false"/>
          <w:color w:val="000000"/>
          <w:sz w:val="21"/>
          <w:szCs w:val="21"/>
        </w:rPr>
        <w:t xml:space="preserve">If you opened the system’s dashboard, rank what you would want to see FIRST. (1 = first)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map of Region IV-A shaded by risk level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ranked watchlist of the most at-risk cities and municipalities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trend line showing how risk moved over recent quarters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The drivers behind each score — which prices, weather, or events pushed it up</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The underlying news articles and data sources behind the score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A downloadable quarterly brief or exportable data file</w:t>
      </w:r>
    </w:p>
    <w:p>
      <w:pPr>
        <w:spacing w:after="30" w:before="70" w:line="264"/>
        <w:ind w:left="340"/>
        <w:jc w:val="left"/>
      </w:pPr>
      <w:r>
        <w:rPr>
          <w:rFonts w:ascii="Calibri" w:cs="Calibri" w:eastAsia="Calibri" w:hAnsi="Calibri"/>
          <w:b/>
          <w:bCs/>
          <w:i/>
          <w:iCs/>
          <w:color w:val="000000"/>
          <w:sz w:val="21"/>
          <w:szCs w:val="21"/>
        </w:rPr>
        <w:t xml:space="preserve">17a. </w:t>
      </w:r>
      <w:r>
        <w:rPr>
          <w:rFonts w:ascii="Calibri" w:cs="Calibri" w:eastAsia="Calibri" w:hAnsi="Calibri"/>
          <w:b w:val="false"/>
          <w:bCs w:val="false"/>
          <w:i/>
          <w:iCs/>
          <w:color w:val="000000"/>
          <w:sz w:val="21"/>
          <w:szCs w:val="21"/>
        </w:rPr>
        <w:t xml:space="preserve">In what format would you actually circulate this internally (printed brief, spreadsheet, presentation, dashboard link)?</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18. </w:t>
      </w:r>
      <w:r>
        <w:rPr>
          <w:rFonts w:ascii="Calibri" w:cs="Calibri" w:eastAsia="Calibri" w:hAnsi="Calibri"/>
          <w:b/>
          <w:bCs/>
          <w:i w:val="false"/>
          <w:iCs w:val="false"/>
          <w:color w:val="000000"/>
          <w:sz w:val="21"/>
          <w:szCs w:val="21"/>
        </w:rPr>
        <w:t xml:space="preserve">How important is it that the system explains WHY a risk score rose, rather than only showing the number?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important — the number is enough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Somewhat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Essential — we could not use a score without the reason behind it</w:t>
      </w:r>
    </w:p>
    <w:p>
      <w:pPr>
        <w:spacing w:after="30" w:before="70" w:line="264"/>
        <w:ind w:left="340"/>
        <w:jc w:val="left"/>
      </w:pPr>
      <w:r>
        <w:rPr>
          <w:rFonts w:ascii="Calibri" w:cs="Calibri" w:eastAsia="Calibri" w:hAnsi="Calibri"/>
          <w:b/>
          <w:bCs/>
          <w:i/>
          <w:iCs/>
          <w:color w:val="000000"/>
          <w:sz w:val="21"/>
          <w:szCs w:val="21"/>
        </w:rPr>
        <w:t xml:space="preserve">18a. </w:t>
      </w:r>
      <w:r>
        <w:rPr>
          <w:rFonts w:ascii="Calibri" w:cs="Calibri" w:eastAsia="Calibri" w:hAnsi="Calibri"/>
          <w:b w:val="false"/>
          <w:bCs w:val="false"/>
          <w:i/>
          <w:iCs/>
          <w:color w:val="000000"/>
          <w:sz w:val="21"/>
          <w:szCs w:val="21"/>
        </w:rPr>
        <w:t xml:space="preserve">The system raises an alert only when an LGU’s risk RISES sharply, not when it is steadily high. What would make such an alert actionable for your office rather than noise?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PART VII · CREDIBILITY, ADOPTION AND LIMITS</w:t>
      </w:r>
    </w:p>
    <w:p>
      <w:pPr>
        <w:spacing w:after="160" w:before="0" w:line="264"/>
        <w:jc w:val="left"/>
      </w:pPr>
      <w:r>
        <w:rPr>
          <w:rFonts w:ascii="Calibri" w:cs="Calibri" w:eastAsia="Calibri" w:hAnsi="Calibri"/>
          <w:b w:val="false"/>
          <w:bCs w:val="false"/>
          <w:i/>
          <w:iCs/>
          <w:color w:val="595959"/>
          <w:sz w:val="19"/>
          <w:szCs w:val="19"/>
        </w:rPr>
        <w:t xml:space="preserve">Items 19–20 establish the conditions for adoption and the limitations the study must disclose.</w:t>
      </w:r>
    </w:p>
    <w:p>
      <w:pPr>
        <w:spacing w:after="60" w:before="200" w:line="264"/>
        <w:jc w:val="left"/>
      </w:pPr>
      <w:r>
        <w:rPr>
          <w:rFonts w:ascii="Calibri" w:cs="Calibri" w:eastAsia="Calibri" w:hAnsi="Calibri"/>
          <w:b/>
          <w:bCs/>
          <w:i w:val="false"/>
          <w:iCs w:val="false"/>
          <w:color w:val="1F4E45"/>
          <w:sz w:val="21"/>
          <w:szCs w:val="21"/>
        </w:rPr>
        <w:t xml:space="preserve">19. </w:t>
      </w:r>
      <w:r>
        <w:rPr>
          <w:rFonts w:ascii="Calibri" w:cs="Calibri" w:eastAsia="Calibri" w:hAnsi="Calibri"/>
          <w:b/>
          <w:bCs/>
          <w:i w:val="false"/>
          <w:iCs w:val="false"/>
          <w:color w:val="000000"/>
          <w:sz w:val="21"/>
          <w:szCs w:val="21"/>
        </w:rPr>
        <w:t xml:space="preserve">What would the system need before your office would consult it as a reference? (Check all that you would require)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stated and verifiable accuracy level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Full transparency of data sources and method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Validation by recognised food-security or nutrition experts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Agreement with the official figures your office already trusts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Citation of the specific articles and data behind every score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clear statement that it is a reference tool, not an official classification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commitment to regular updating and maintenance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Endorsement or co-ownership by the agency that actually holds the food-security mandate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19a. </w:t>
      </w:r>
      <w:r>
        <w:rPr>
          <w:rFonts w:ascii="Calibri" w:cs="Calibri" w:eastAsia="Calibri" w:hAnsi="Calibri"/>
          <w:b w:val="false"/>
          <w:bCs w:val="false"/>
          <w:i/>
          <w:iCs/>
          <w:color w:val="000000"/>
          <w:sz w:val="21"/>
          <w:szCs w:val="21"/>
        </w:rPr>
        <w:t xml:space="preserve">If those conditions were met, where in your office’s workflow would this fit — and where would it NOT be appropriate to use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60" w:before="200" w:line="264"/>
        <w:jc w:val="left"/>
      </w:pPr>
      <w:r>
        <w:rPr>
          <w:rFonts w:ascii="Calibri" w:cs="Calibri" w:eastAsia="Calibri" w:hAnsi="Calibri"/>
          <w:b/>
          <w:bCs/>
          <w:i w:val="false"/>
          <w:iCs w:val="false"/>
          <w:color w:val="1F4E45"/>
          <w:sz w:val="21"/>
          <w:szCs w:val="21"/>
        </w:rPr>
        <w:t xml:space="preserve">20. </w:t>
      </w:r>
      <w:r>
        <w:rPr>
          <w:rFonts w:ascii="Calibri" w:cs="Calibri" w:eastAsia="Calibri" w:hAnsi="Calibri"/>
          <w:b/>
          <w:bCs/>
          <w:i w:val="false"/>
          <w:iCs w:val="false"/>
          <w:color w:val="000000"/>
          <w:sz w:val="21"/>
          <w:szCs w:val="21"/>
        </w:rPr>
        <w:t xml:space="preserve">What risks or harms could arise if a food-insecurity risk indicator were misread or misused (for example: stigma to an LGU, misallocation of assistance, political use)? And what single limitation should this study disclose most prominently?</w:t>
      </w:r>
    </w:p>
    <w:p>
      <w:pPr>
        <w:spacing w:after="40" w:before="0" w:line="264"/>
        <w:ind w:left="340"/>
        <w:jc w:val="left"/>
      </w:pPr>
      <w:r>
        <w:rPr>
          <w:rFonts w:ascii="Calibri" w:cs="Calibri" w:eastAsia="Calibri" w:hAnsi="Calibri"/>
          <w:b/>
          <w:bCs/>
          <w:i w:val="false"/>
          <w:iCs w:val="false"/>
          <w:color w:val="000000"/>
          <w:sz w:val="21"/>
          <w:szCs w:val="21"/>
        </w:rPr>
        <w:t xml:space="preserve">Risks or harms to guard against: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40" w:before="60" w:line="264"/>
        <w:ind w:left="340"/>
        <w:jc w:val="left"/>
      </w:pPr>
      <w:r>
        <w:rPr>
          <w:rFonts w:ascii="Calibri" w:cs="Calibri" w:eastAsia="Calibri" w:hAnsi="Calibri"/>
          <w:b/>
          <w:bCs/>
          <w:i w:val="false"/>
          <w:iCs w:val="false"/>
          <w:color w:val="000000"/>
          <w:sz w:val="21"/>
          <w:szCs w:val="21"/>
        </w:rPr>
        <w:t xml:space="preserve">The one limitation the study should disclose most prominently: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20" w:before="0" w:line="264"/>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1F6F4" w:val="clear"/>
            <w:tcMar>
              <w:top w:type="dxa" w:w="160"/>
              <w:left w:type="dxa" w:w="200"/>
              <w:bottom w:type="dxa" w:w="160"/>
              <w:right w:type="dxa" w:w="200"/>
            </w:tcMar>
          </w:tcPr>
          <w:p>
            <w:pPr>
              <w:spacing w:after="60" w:before="0" w:line="264"/>
              <w:jc w:val="left"/>
            </w:pPr>
            <w:r>
              <w:rPr>
                <w:rFonts w:ascii="Calibri" w:cs="Calibri" w:eastAsia="Calibri" w:hAnsi="Calibri"/>
                <w:b/>
                <w:bCs/>
                <w:i w:val="false"/>
                <w:iCs w:val="false"/>
                <w:color w:val="1F4E45"/>
                <w:sz w:val="20"/>
                <w:szCs w:val="20"/>
              </w:rPr>
              <w:t xml:space="preserve">CLOSING</w:t>
            </w:r>
          </w:p>
          <w:p>
            <w:pPr>
              <w:spacing w:after="140" w:before="0" w:line="264"/>
              <w:jc w:val="left"/>
            </w:pPr>
            <w:r>
              <w:rPr>
                <w:rFonts w:ascii="Calibri" w:cs="Calibri" w:eastAsia="Calibri" w:hAnsi="Calibri"/>
                <w:b w:val="false"/>
                <w:bCs w:val="false"/>
                <w:i w:val="false"/>
                <w:iCs w:val="false"/>
                <w:color w:val="000000"/>
                <w:sz w:val="20"/>
                <w:szCs w:val="20"/>
              </w:rPr>
              <w:t xml:space="preserve">Is there anything we did not ask that we should have?</w:t>
            </w:r>
          </w:p>
          <w:p>
            <w:pPr>
              <w:spacing w:after="13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7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40" w:before="0" w:line="264"/>
              <w:jc w:val="left"/>
            </w:pPr>
            <w:r>
              <w:rPr>
                <w:rFonts w:ascii="Calibri" w:cs="Calibri" w:eastAsia="Calibri" w:hAnsi="Calibri"/>
                <w:b w:val="false"/>
                <w:bCs w:val="false"/>
                <w:i w:val="false"/>
                <w:iCs w:val="false"/>
                <w:color w:val="000000"/>
                <w:sz w:val="20"/>
                <w:szCs w:val="20"/>
              </w:rPr>
              <w:t xml:space="preserve">May we follow up with a short interview to clarify your answers?   ☐ Yes   ☐ No</w:t>
            </w:r>
          </w:p>
          <w:p>
            <w:pPr>
              <w:pBdr>
                <w:bottom w:val="single" w:color="B7B7B7" w:sz="4" w:space="2"/>
              </w:pBdr>
              <w:spacing w:after="0"/>
            </w:pPr>
            <w:r>
              <w:rPr>
                <w:rFonts w:ascii="Calibri" w:cs="Calibri" w:eastAsia="Calibri" w:hAnsi="Calibri"/>
                <w:sz w:val="20"/>
                <w:szCs w:val="20"/>
              </w:rPr>
              <w:t xml:space="preserve">Contact person and email for follow-up:</w:t>
            </w:r>
          </w:p>
        </w:tc>
      </w:tr>
    </w:tbl>
    <w:p>
      <w:pPr>
        <w:spacing w:after="0" w:before="160" w:line="264"/>
        <w:jc w:val="left"/>
      </w:pPr>
      <w:r>
        <w:rPr>
          <w:rFonts w:ascii="Calibri" w:cs="Calibri" w:eastAsia="Calibri" w:hAnsi="Calibri"/>
          <w:b w:val="false"/>
          <w:bCs w:val="false"/>
          <w:i/>
          <w:iCs/>
          <w:color w:val="595959"/>
          <w:sz w:val="21"/>
          <w:szCs w:val="21"/>
        </w:rPr>
        <w:t xml:space="preserve">Thank you. Your answers directly determine what this system is built to do — and for whom.</w:t>
      </w:r>
    </w:p>
    <w:p>
      <w:r>
        <w:br w:type="page"/>
      </w:r>
    </w:p>
    <w:p>
      <w:pPr>
        <w:pStyle w:val="Heading1"/>
        <w:pBdr>
          <w:bottom w:val="single" w:color="1F4E45" w:sz="8" w:space="4"/>
        </w:pBdr>
        <w:spacing w:after="60" w:before="320"/>
      </w:pPr>
      <w:r>
        <w:rPr>
          <w:rFonts w:ascii="Calibri" w:cs="Calibri" w:eastAsia="Calibri" w:hAnsi="Calibri"/>
          <w:b/>
          <w:bCs/>
          <w:color w:val="1F4E45"/>
          <w:sz w:val="24"/>
          <w:szCs w:val="24"/>
        </w:rPr>
        <w:t xml:space="preserve">ANNEX · RESEARCHER’S MAPPING (REMOVE BEFORE DISTRIBUTION)</w:t>
      </w:r>
    </w:p>
    <w:p>
      <w:pPr>
        <w:spacing w:after="160" w:before="0" w:line="264"/>
        <w:jc w:val="left"/>
      </w:pPr>
      <w:r>
        <w:rPr>
          <w:rFonts w:ascii="Calibri" w:cs="Calibri" w:eastAsia="Calibri" w:hAnsi="Calibri"/>
          <w:b w:val="false"/>
          <w:bCs w:val="false"/>
          <w:i/>
          <w:iCs/>
          <w:color w:val="595959"/>
          <w:sz w:val="19"/>
          <w:szCs w:val="19"/>
        </w:rPr>
        <w:t xml:space="preserve">Not for the respondent. This maps each item to the part of the thesis it is designed to defend.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rPr>
          <w:tblHeader/>
        </w:trPr>
        <w:tc>
          <w:tcPr>
            <w:tcW w:type="dxa" w:w="80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Item</w:t>
            </w:r>
          </w:p>
        </w:tc>
        <w:tc>
          <w:tcPr>
            <w:tcW w:type="dxa" w:w="356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What it captures</w:t>
            </w:r>
          </w:p>
        </w:tc>
        <w:tc>
          <w:tcPr>
            <w:tcW w:type="dxa" w:w="500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Thesis element it justifies</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Whether DA monitors food insecurity directly, indirectly, or not at all; who holds the mandate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Client validity — proves the study identified the right client instead of assuming it. A “no/indirect” answer is itself a finding</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2</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the office actually tracks vs. another agency’s mandate</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Scope of the gap — separates DA’s production/price lens from the household-hunger construct</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3</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the office concretely means by a “food problem”</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Construct validity — tests whether the client’s concept matches the system’s risk construct</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4–5</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Existing tools; finest level currently monitored</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Problem statement — proves no LGU-level tool exists today</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6</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Descriptive vs. predictive orientation; current lead time</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Research gap — confirms monitoring is reactive, not anticipatory</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7</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Ranked limitations of the status quo</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Statement of the problem; scope and delimitation</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8</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Per-source use, trust, and publication lag</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Validates the feature sources and justifies a faster leading indicator</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9</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News as an early signal</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the news corpus as secondary data / leading proxy</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10</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Ranking of the six dimensions (A–F)</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Expert validation of the dimension taxonomy</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11</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Region-specific shocks and priority commodities</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Validates CALABARZON trigger design and commodity-price features</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12</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Which predictors the client wants used</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Feature selection — the client-endorsed feature set</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13–14</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Preferred geographic level; value of 142-LGU output</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municipal/city-level disaggregation as a client requirement</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15</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Handling of data-poor LGUs</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the LIMITED_SIGNAL treatment and honest uncertainty</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16</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Cadence and lead time</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the quarterly, one-quarter-ahead forecast horizon</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17</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Dashboard priorities</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Product requirements — interface build items</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18</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Explainability; actionable alerts</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explainable output and rise-triggered alert logic</w:t>
            </w:r>
          </w:p>
        </w:tc>
      </w:tr>
      <w:tr>
        <w:tc>
          <w:tcPr>
            <w:tcW w:type="dxa" w:w="80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19</w:t>
            </w:r>
          </w:p>
        </w:tc>
        <w:tc>
          <w:tcPr>
            <w:tcW w:type="dxa" w:w="356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Conditions for adoption</w:t>
            </w:r>
          </w:p>
        </w:tc>
        <w:tc>
          <w:tcPr>
            <w:tcW w:type="dxa" w:w="50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Significance of the study; positioning as a reference tool</w:t>
            </w:r>
          </w:p>
        </w:tc>
      </w:tr>
      <w:tr>
        <w:tc>
          <w:tcPr>
            <w:tcW w:type="dxa" w:w="80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20</w:t>
            </w:r>
          </w:p>
        </w:tc>
        <w:tc>
          <w:tcPr>
            <w:tcW w:type="dxa" w:w="356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Risks of misuse; disclosed limitation</w:t>
            </w:r>
          </w:p>
        </w:tc>
        <w:tc>
          <w:tcPr>
            <w:tcW w:type="dxa" w:w="50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Ethics section and limitations chapter</w:t>
            </w:r>
          </w:p>
        </w:tc>
      </w:tr>
    </w:tbl>
    <w:p>
      <w:pPr>
        <w:spacing w:after="0" w:before="160" w:line="264"/>
        <w:jc w:val="left"/>
      </w:pPr>
      <w:r>
        <w:rPr>
          <w:rFonts w:ascii="Calibri" w:cs="Calibri" w:eastAsia="Calibri" w:hAnsi="Calibri"/>
          <w:b w:val="false"/>
          <w:bCs w:val="false"/>
          <w:i/>
          <w:iCs/>
          <w:color w:val="595959"/>
          <w:sz w:val="19"/>
          <w:szCs w:val="19"/>
        </w:rPr>
        <w:t xml:space="preserve">Note on Part I: if the response to Item 1 is “indirect” or “another agency’s mandate,” that does not invalidate the study — it reframes DA RFO IV-A as the production-and-supply-side client and identifies the co-client (NNC IV-A, DSWD FO IV-A, or the Regional Nutrition Committee) that the same instrument should then be run with.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2026-09-04T02:52:32.622Z</dcterms:created>
  <dcterms:modified xsi:type="dcterms:W3CDTF">2026-09-04T02:52:32.622Z</dcterms:modified>
</cp:coreProperties>
</file>

<file path=docProps/custom.xml><?xml version="1.0" encoding="utf-8"?>
<Properties xmlns="http://schemas.openxmlformats.org/officeDocument/2006/custom-properties" xmlns:vt="http://schemas.openxmlformats.org/officeDocument/2006/docPropsVTypes"/>
</file>