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 (</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p.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941e46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