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t xml:space="preserve">(Continued.)</w: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 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1"/>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2dc3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