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 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 ten as not may be highly colorful and even wrong.</w:t>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 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49ebd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