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r>
        <w:rPr>
          <w:rStyle w:val="FootnoteRef"/>
        </w:rPr>
        <w:footnoteReference w:id="25"/>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7"/>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8"/>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30"/>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31"/>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5">
    <w:p>
      <w:pPr>
        <w:pStyle w:val="FootnoteText"/>
      </w:pPr>
      <w:r>
        <w:rPr>
          <w:rStyle w:val="FootnoteRef"/>
        </w:rPr>
        <w:footnoteRef/>
      </w:r>
      <w:r>
        <w:t xml:space="preserve">While nineteenth-century scientific periodicals in the United States took the form of highly specialized</w:t>
      </w:r>
      <w:r>
        <w:t xml:space="preserve"> </w:t>
      </w:r>
      <w:r>
        <w:rPr>
          <w:i/>
        </w:rPr>
        <w:t xml:space="preserve">Proceedings, Transactions,</w:t>
      </w:r>
      <w:r>
        <w:t xml:space="preserve"> </w:t>
      </w:r>
      <w:r>
        <w:t xml:space="preserve">or</w:t>
      </w:r>
      <w:r>
        <w:t xml:space="preserve"> </w:t>
      </w:r>
      <w:r>
        <w:rPr>
          <w:i/>
        </w:rPr>
        <w:t xml:space="preserve">Reports</w:t>
      </w:r>
      <w:r>
        <w:t xml:space="preserve"> </w:t>
      </w:r>
      <w:r>
        <w:t xml:space="preserve">of professional research groups, the</w:t>
      </w:r>
      <w:r>
        <w:t xml:space="preserve"> </w:t>
      </w:r>
      <w:r>
        <w:rPr>
          <w:i/>
        </w:rPr>
        <w:t xml:space="preserve">fin de siécle</w:t>
      </w:r>
      <w:r>
        <w:t xml:space="preserve"> </w:t>
      </w:r>
      <w:r>
        <w:t xml:space="preserve">saw a proliferation of titles aimed at a broader audience.</w:t>
      </w:r>
      <w:r>
        <w:t xml:space="preserve"> </w:t>
      </w:r>
      <w:r>
        <w:rPr>
          <w:i/>
        </w:rPr>
        <w:t xml:space="preserve">Scientific American</w:t>
      </w:r>
      <w:r>
        <w:t xml:space="preserve"> </w:t>
      </w:r>
      <w:r>
        <w:t xml:space="preserve">was one of these publications, a magazine whose readership included credentialed researchers, industrial manufacturers, an interested general public, as well as a</w:t>
      </w:r>
      <w:r>
        <w:t xml:space="preserve"> </w:t>
      </w:r>
      <w:r>
        <w:t xml:space="preserve">“</w:t>
      </w:r>
      <w:r>
        <w:t xml:space="preserve">nebulous community of inventors (ranging from the local tinkerer to manufacturer and professional inventor/technologist).</w:t>
      </w:r>
      <w:r>
        <w:t xml:space="preserve">”</w:t>
      </w:r>
    </w:p>
    <w:p>
      <w:pPr>
        <w:pStyle w:val="FootnoteText"/>
      </w:pPr>
      <w:r>
        <w:t xml:space="preserve">Science in these magazines, therefore, became accessible to those who either were dedicated primarily to self-education and self-cultivation, or who, as more casual readers, enjoyed a range of information including science and technology, as a part of a felt need to be aware of the trends in the progressive march of civilization.</w:t>
      </w:r>
    </w:p>
    <w:p>
      <w:pPr>
        <w:pStyle w:val="FootnoteText"/>
      </w:pPr>
      <w:r>
        <w:t xml:space="preserve">Matthew D. Whalen and Mary F. Tobin, “Periodicals and the Popularization of Science in America, 1860-1910,”</w:t>
      </w:r>
      <w:r>
        <w:t xml:space="preserve"> </w:t>
      </w:r>
      <w:r>
        <w:rPr>
          <w:i/>
        </w:rPr>
        <w:t xml:space="preserve">Journal of American Culture</w:t>
      </w:r>
      <w:r>
        <w:t xml:space="preserve">, 3, no. 1, (March 1980): 195–203, doi:</w:t>
      </w:r>
      <w:hyperlink r:id="rId26">
        <w:r>
          <w:rPr>
            <w:rStyle w:val="Link"/>
          </w:rPr>
          <w:t xml:space="preserve">10.1111/j.1542-734X.1980.0301_195.x</w:t>
        </w:r>
      </w:hyperlink>
      <w:r>
        <w:t xml:space="preserve"/>
      </w:r>
      <w:r>
        <w:t xml:space="preserve">.</w:t>
      </w:r>
    </w:p>
    <w:p>
      <w:pPr>
        <w:pStyle w:val="FootnoteText"/>
      </w:pPr>
      <w:r>
        <w:t xml:space="preserve">For a history of the view that a scientifically educated public was an imperative for American democracy in the early twentieth century, a period during which the concept of</w:t>
      </w:r>
      <w:r>
        <w:t xml:space="preserve"> </w:t>
      </w:r>
      <w:r>
        <w:t xml:space="preserve">“</w:t>
      </w:r>
      <w:r>
        <w:t xml:space="preserve">science</w:t>
      </w:r>
      <w:r>
        <w:t xml:space="preserve">”</w:t>
      </w:r>
      <w:r>
        <w:t xml:space="preserve"> </w:t>
      </w:r>
      <w:r>
        <w:t xml:space="preserve">itself was in flux, see</w:t>
      </w:r>
      <w:r>
        <w:t xml:space="preserve"> </w:t>
      </w:r>
      <w:r>
        <w:t xml:space="preserve">Professor Andrew Jewett,</w:t>
      </w:r>
      <w:r>
        <w:t xml:space="preserve"> </w:t>
      </w:r>
      <w:r>
        <w:rPr>
          <w:i/>
        </w:rPr>
        <w:t xml:space="preserve">Science, Democracy, and the American University: From the Civil War to the Cold War</w:t>
      </w:r>
      <w:r>
        <w:t xml:space="preserve">, Reprint edition., (Cambridge: Cambridge University Press, 2014)</w:t>
      </w:r>
      <w:r>
        <w:t xml:space="preserve">, especially Chapters 4 and 7.</w:t>
      </w:r>
    </w:p>
  </w:footnote>
  <w:footnote w:id="28">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9">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30">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31">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3a1251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dx.doi.org/10.1016/j.electacta.2009.02.029" TargetMode="External" /><Relationship Type="http://schemas.openxmlformats.org/officeDocument/2006/relationships/hyperlink" Id="rId26" Target="http://dx.doi.org/10.1111/j.1542-734X.1980.0301_195.x"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16/j.electacta.2009.02.029" TargetMode="External" /><Relationship Type="http://schemas.openxmlformats.org/officeDocument/2006/relationships/hyperlink" Id="rId26" Target="http://dx.doi.org/10.1111/j.1542-734X.1980.0301_195.x"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