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5"/>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6"/>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8"/>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w:t>
      </w:r>
      <w:r>
        <w:t xml:space="preserve">How to Make a Mercury Interrupter,</w:t>
      </w:r>
      <w:r>
        <w:t xml:space="preserve">”</w:t>
      </w:r>
      <w:r>
        <w:t xml:space="preserve"> </w:t>
      </w:r>
      <w:r>
        <w:rPr>
          <w:i/>
        </w:rPr>
        <w:t xml:space="preserve">Modern Electrics</w:t>
      </w:r>
      <w:r>
        <w:t xml:space="preserve"> </w:t>
      </w:r>
      <w:r>
        <w:t xml:space="preserve">vol. 1, no. 1 (April 1908): 22.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p. 93-94.</w:t>
      </w:r>
    </w:p>
  </w:footnote>
  <w:footnote w:id="26">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7">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8">
    <w:p>
      <w:pPr>
        <w:pStyle w:val="FootnoteText"/>
      </w:pPr>
      <w:r>
        <w:rPr>
          <w:rStyle w:val="FootnoteRef"/>
        </w:rPr>
        <w:footnoteRef/>
      </w:r>
      <w:r>
        <w:t xml:space="preserve">The high frequency with which bubbles in the mercury interrupted a current was a method which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a7fb0f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