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6"/>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7"/>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9"/>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30"/>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Rabinback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p.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7">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 Although Varley, Hughes, Onesti and others had previously noted this phenomenon, none of these investigators had fully appreciated the causes involved, or given to the world of science the benefit of their researches in thorough published reports.</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drawing>
          <wp:inline>
            <wp:extent cx="5473700" cy="7086600"/>
            <wp:effectExtent b="0" l="0" r="0" t="0"/>
            <wp:docPr descr="" id="1" name="Picture"/>
            <a:graphic>
              <a:graphicData uri="http://schemas.openxmlformats.org/drawingml/2006/picture">
                <pic:pic>
                  <pic:nvPicPr>
                    <pic:cNvPr descr="images/branly_coherer.png" id="0" name="Picture"/>
                    <pic:cNvPicPr>
                      <a:picLocks noChangeArrowheads="1" noChangeAspect="1"/>
                    </pic:cNvPicPr>
                  </pic:nvPicPr>
                  <pic:blipFill>
                    <a:blip r:embed="rId28"/>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9">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 w:id="30">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r>
        <w:t xml:space="preserve"> </w:t>
      </w:r>
      <w:r>
        <w:t xml:space="preserve">“</w:t>
      </w:r>
      <w:r>
        <w:t xml:space="preserve">Radio Kinetics,</w:t>
      </w:r>
      <w:r>
        <w:t xml:space="preserve">”</w:t>
      </w:r>
      <w:r>
        <w:t xml:space="preserve"> </w:t>
      </w:r>
      <w:r>
        <w:rPr>
          <w:i/>
        </w:rPr>
        <w:t xml:space="preserve">Radio Amateur News</w:t>
      </w:r>
      <w:r>
        <w:t xml:space="preserve">, vol. 1 no. 12, June 1920.</w:t>
      </w:r>
    </w:p>
  </w:footnote>
</w:footnotes>
</file>

<file path=word/numbering.xml><?xml version="1.0" encoding="utf-8"?>
<w:numbering xmlns:w="http://schemas.openxmlformats.org/wordprocessingml/2006/main">
  <w:abstractNum w:abstractNumId="0">
    <w:nsid w:val="6e72d6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