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Authors"/>
      </w:pPr>
      <w:r>
        <w:t xml:space="preserve">Modern</w:t>
      </w:r>
      <w:r>
        <w:t xml:space="preserve"> </w:t>
      </w:r>
      <w:r>
        <w:t xml:space="preserve">Electrics,</w:t>
      </w:r>
      <w:r>
        <w:t xml:space="preserve"> </w:t>
      </w:r>
      <w:r>
        <w:t xml:space="preserve">vol. 1</w:t>
      </w:r>
      <w:r>
        <w:t xml:space="preserve"> </w:t>
      </w:r>
      <w:r>
        <w:t xml:space="preserve">no.</w:t>
      </w:r>
      <w:r>
        <w:t xml:space="preserve"> </w:t>
      </w:r>
      <w:r>
        <w:t xml:space="preserve">8</w:t>
      </w:r>
    </w:p>
    <w:p>
      <w:pPr>
        <w:pStyle w:val="Date"/>
      </w:pPr>
      <w:r>
        <w:t xml:space="preserve">November</w:t>
      </w:r>
      <w:r>
        <w:t xml:space="preserve"> </w:t>
      </w:r>
      <w:r>
        <w:t xml:space="preserve">1908</w: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r>
        <w:rPr>
          <w:rStyle w:val="FootnoteRef"/>
        </w:rPr>
        <w:footnoteReference w:id="21"/>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user skimming the airwaves in 1908 would have found a cacophony of code flashing in multiple directions, including: government stations sending out time signals; maritime communications going ship to ship and ship to shore with information like weather conditions, iceberg reports, and ship position and speed; personal</w:t>
      </w:r>
      <w:r>
        <w:t xml:space="preserve"> </w:t>
      </w:r>
      <w:r>
        <w:t xml:space="preserve">“</w:t>
      </w:r>
      <w:r>
        <w:t xml:space="preserve">Marconigrams</w:t>
      </w:r>
      <w:r>
        <w:t xml:space="preserve">”</w:t>
      </w:r>
      <w:r>
        <w:t xml:space="preserve"> </w:t>
      </w:r>
      <w:r>
        <w:t xml:space="preserve">or</w:t>
      </w:r>
      <w:r>
        <w:t xml:space="preserve"> </w:t>
      </w:r>
      <w:r>
        <w:t xml:space="preserve">“</w:t>
      </w:r>
      <w:r>
        <w:t xml:space="preserve">Aerograms</w:t>
      </w:r>
      <w:r>
        <w:t xml:space="preserve">”</w:t>
      </w:r>
      <w:r>
        <w:t xml:space="preserve"> </w:t>
      </w:r>
      <w:r>
        <w:t xml:space="preserve">sent from or to these ships; experimenters sending messages across the street or (realistically, the most at that time) across town; and commercial stations conducting experiments and sending messages for paying clients. In addition, there was no standard for wireless communication at the time, which meant that one user might have identified himself by name while another might have made up a call sign, which weren’t standardized until 1927.</w:t>
      </w:r>
    </w:p>
  </w:footnote>
</w:footnotes>
</file>

<file path=word/numbering.xml><?xml version="1.0" encoding="utf-8"?>
<w:numbering xmlns:w="http://schemas.openxmlformats.org/wordprocessingml/2006/main">
  <w:abstractNum w:abstractNumId="0">
    <w:nsid w:val="6c08f6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Modern Electrics, vol. 1 no. 8</dc:creator>
</cp:coreProperties>
</file>