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jpg" ContentType="image/jpeg"/>
  <Override PartName="/word/media/rId43.png" ContentType="image/png"/>
  <Override PartName="/word/media/rId27.jpg" ContentType="image/jpeg"/>
  <Override PartName="/word/media/rId24.png" ContentType="image/png"/>
  <Override PartName="/word/media/rId29.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drawing>
          <wp:inline>
            <wp:extent cx="8255000" cy="11379200"/>
            <wp:effectExtent b="0" l="0" r="0" t="0"/>
            <wp:docPr descr="" id="1" name="Picture"/>
            <a:graphic>
              <a:graphicData uri="http://schemas.openxmlformats.org/drawingml/2006/picture">
                <pic:pic>
                  <pic:nvPicPr>
                    <pic:cNvPr descr="images/ee_cover_telephot.jpg" id="0" name="Picture"/>
                    <pic:cNvPicPr>
                      <a:picLocks noChangeArrowheads="1" noChangeAspect="1"/>
                    </pic:cNvPicPr>
                  </pic:nvPicPr>
                  <pic:blipFill>
                    <a:blip r:embed="rId28"/>
                    <a:stretch>
                      <a:fillRect/>
                    </a:stretch>
                  </pic:blipFill>
                  <pic:spPr bwMode="auto">
                    <a:xfrm>
                      <a:off x="0" y="0"/>
                      <a:ext cx="8255000" cy="11379200"/>
                    </a:xfrm>
                    <a:prstGeom prst="rect">
                      <a:avLst/>
                    </a:prstGeom>
                    <a:noFill/>
                    <a:ln w="9525">
                      <a:noFill/>
                      <a:headEnd/>
                      <a:tailEnd/>
                    </a:ln>
                  </pic:spPr>
                </pic:pic>
              </a:graphicData>
            </a:graphic>
          </wp:inline>
        </w:drawing>
      </w:r>
    </w:p>
    <w:p>
      <w:pPr>
        <w:pStyle w:val="ImageCaption"/>
      </w:pPr>
      <w:r>
        <w:t xml:space="preserve">May 1918 cover of</w:t>
      </w:r>
      <w:r>
        <w:t xml:space="preserve"> </w:t>
      </w:r>
      <w:r>
        <w:rPr>
          <w:i/>
        </w:rPr>
        <w:t xml:space="preserve">Electrical Experimenter.</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9"/>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30"/>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 bad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1"/>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3"/>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6"/>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8"/>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9"/>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40"/>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r>
        <w:rPr>
          <w:rStyle w:val="FootnoteRef"/>
        </w:rPr>
        <w:footnoteReference w:id="41"/>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a1,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many point to this article as the first either to coin the term</w:t>
      </w:r>
      <w:r>
        <w:t xml:space="preserve"> </w:t>
      </w:r>
      <w:r>
        <w:t xml:space="preserve">“</w:t>
      </w:r>
      <w:r>
        <w:t xml:space="preserve">television</w:t>
      </w:r>
      <w:r>
        <w:t xml:space="preserve">”</w:t>
      </w:r>
      <w:r>
        <w:t xml:space="preserve"> </w:t>
      </w:r>
      <w:r>
        <w:t xml:space="preserve">or explain the concept to the layman (for instance</w:t>
      </w:r>
      <w:r>
        <w:t xml:space="preserve"> </w:t>
      </w:r>
      <w:r>
        <w:t xml:space="preserve">Paul O’Neil, “The Amazing Hugo Gernsback, Prophet of Science, Barnum of the Space Age,”</w:t>
      </w:r>
      <w:r>
        <w:t xml:space="preserve"> </w:t>
      </w:r>
      <w:r>
        <w:rPr>
          <w:i/>
        </w:rPr>
        <w:t xml:space="preserve">LIFE Magazine</w:t>
      </w:r>
      <w:r>
        <w:t xml:space="preserve">, 55, no. 4, (July 1963): 63–68</w:t>
      </w:r>
      <w:r>
        <w:t xml:space="preserve">),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Beiträge zum Problem des elektrischen Fernsehen</w:t>
      </w:r>
      <w:r>
        <w:t xml:space="preserve"> </w:t>
      </w:r>
      <w:r>
        <w:t xml:space="preserve">[Contributions to the Problem of Electrical Television]. For more on the 19th century origins of electric image scanning techniques, see</w:t>
      </w:r>
      <w:r>
        <w:t xml:space="preserve"> </w:t>
      </w:r>
      <w:r>
        <w:t xml:space="preserve">Friedrich A Kittler,</w:t>
      </w:r>
      <w:r>
        <w:t xml:space="preserve"> </w:t>
      </w:r>
      <w:r>
        <w:rPr>
          <w:i/>
        </w:rPr>
        <w:t xml:space="preserve">Optical Media: Berlin Lectures 1999</w:t>
      </w:r>
      <w:r>
        <w:t xml:space="preserve">, trans. Anthony Enns, (Cambridge, UK; Malden, MA: Polity Press, 2010)</w:t>
      </w:r>
      <w:r>
        <w:t xml:space="preserve">, 208-12. Further explications of the principle of television for a popular audience in the German context can be found in the writings of the technologist</w:t>
      </w:r>
      <w:r>
        <w:t xml:space="preserve"> </w:t>
      </w:r>
      <w:r>
        <w:t xml:space="preserve">Eugen Nesper,</w:t>
      </w:r>
      <w:r>
        <w:t xml:space="preserve"> </w:t>
      </w:r>
      <w:r>
        <w:rPr>
          <w:i/>
        </w:rPr>
        <w:t xml:space="preserve">Das Elektrische Fernsehen Und Das Telehor</w:t>
      </w:r>
      <w:r>
        <w:t xml:space="preserve">, (Berlin: Verlag von M. Krayn, 1923)</w:t>
      </w:r>
      <w:r>
        <w:t xml:space="preserve">.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20320000" cy="1412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20320000" cy="141224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The greatest benefit of Ruhmer’s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1">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2">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3">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4">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3657600" cy="44323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5"/>
                    <a:stretch>
                      <a:fillRect/>
                    </a:stretch>
                  </pic:blipFill>
                  <pic:spPr bwMode="auto">
                    <a:xfrm>
                      <a:off x="0" y="0"/>
                      <a:ext cx="3657600" cy="4432300"/>
                    </a:xfrm>
                    <a:prstGeom prst="rect">
                      <a:avLst/>
                    </a:prstGeom>
                    <a:noFill/>
                    <a:ln w="9525">
                      <a:noFill/>
                      <a:headEnd/>
                      <a:tailEnd/>
                    </a:ln>
                  </pic:spPr>
                </pic:pic>
              </a:graphicData>
            </a:graphic>
          </wp:inline>
        </w:drawing>
      </w:r>
      <w:r>
        <w:t xml:space="preserve"> </w:t>
      </w:r>
    </w:p>
  </w:footnote>
  <w:footnote w:id="36">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7">
        <w:r>
          <w:rPr>
            <w:rStyle w:val="Link"/>
          </w:rPr>
          <w:t xml:space="preserve">http://paperspast.natlib.govt.nz/cgi-bin/paperspast?a=d&amp;d=EP19100226.2.111&amp;e=-------10--1----0--</w:t>
        </w:r>
      </w:hyperlink>
      <w:r>
        <w:t xml:space="preserve"/>
      </w:r>
      <w:r>
        <w:t xml:space="preserve">.</w:t>
      </w:r>
    </w:p>
  </w:footnote>
  <w:footnote w:id="41">
    <w:p>
      <w:pPr>
        <w:pStyle w:val="FootnoteText"/>
      </w:pPr>
      <w:r>
        <w:rPr>
          <w:rStyle w:val="FootnoteRef"/>
        </w:rPr>
        <w:footnoteRef/>
      </w:r>
      <w:r>
        <w:t xml:space="preserve">In a 1918 article on the telephot, Gernsback describes how successful two-way moving image communication would require both speakers’ faces to be intensely lit in order for</w:t>
      </w:r>
      <w:r>
        <w:t xml:space="preserve"> </w:t>
      </w:r>
      <w:r>
        <w:t xml:space="preserve">“</w:t>
      </w:r>
      <w:r>
        <w:t xml:space="preserve">light-relays</w:t>
      </w:r>
      <w:r>
        <w:t xml:space="preserve">”</w:t>
      </w:r>
      <w:r>
        <w:t xml:space="preserve"> </w:t>
      </w:r>
      <w:r>
        <w:t xml:space="preserve">to be able to sense variations in the depicted subject:</w:t>
      </w:r>
    </w:p>
    <w:p>
      <w:pPr>
        <w:pStyle w:val="BlockQuote"/>
        <w:pStyle w:val="FootnoteText"/>
      </w:pPr>
      <w:r>
        <w:t xml:space="preserve">In order that the distant person may see the speaker’s face, it is of course necessary that the latter’s face be illuminated. For it goes without saying that if the speaker was in the dark, his friend could not possibly see him on the other side because no light impulses would be thrown on the</w:t>
      </w:r>
      <w:r>
        <w:t xml:space="preserve"> </w:t>
      </w:r>
      <w:r>
        <w:t xml:space="preserve">“</w:t>
      </w:r>
      <w:r>
        <w:t xml:space="preserve">sending</w:t>
      </w:r>
      <w:r>
        <w:t xml:space="preserve">”</w:t>
      </w:r>
      <w:r>
        <w:t xml:space="preserve"> </w:t>
      </w:r>
      <w:r>
        <w:t xml:space="preserve">lens. For this reason it will be necessary to provide a lamp R at the top of the Telephot, which lamp throws its rays on the speaker’s face; from here the light rays are thrown onto the lens, thence to be transmitted to the distant station.</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p>
      <w:pPr>
        <w:pStyle w:val="FootnoteText"/>
      </w:pPr>
      <w:r>
        <w:t xml:space="preserve">Just five years earlier, Gernsback had patented a</w:t>
      </w:r>
      <w:r>
        <w:t xml:space="preserve"> </w:t>
      </w:r>
      <w:r>
        <w:t xml:space="preserve">“</w:t>
      </w:r>
      <w:r>
        <w:t xml:space="preserve">luminous electric mirror</w:t>
      </w:r>
      <w:r>
        <w:t xml:space="preserve">”</w:t>
      </w:r>
      <w:r>
        <w:t xml:space="preserve"> </w:t>
      </w:r>
      <w:r>
        <w:t xml:space="preserve">whose design mimicked that of his speculative prototypes for the telephot.</w:t>
      </w:r>
    </w:p>
    <w:p>
      <w:pPr>
        <w:pStyle w:val="FootnoteText"/>
      </w:pPr>
      <w:r>
        <w:t xml:space="preserve">Hugo Gernsback, “Luminous Electric Mirror.” April 1913,</w:t>
      </w:r>
      <w:r>
        <w:t xml:space="preserve"> </w:t>
      </w:r>
      <w:hyperlink r:id="rId42">
        <w:r>
          <w:rPr>
            <w:rStyle w:val="Link"/>
          </w:rPr>
          <w:t xml:space="preserve">http://www.google.com/patents/US1057820</w:t>
        </w:r>
      </w:hyperlink>
      <w:r>
        <w:t xml:space="preserve"/>
      </w:r>
      <w:r>
        <w:t xml:space="preserve">.</w:t>
      </w:r>
    </w:p>
    <w:p>
      <w:pPr>
        <w:pStyle w:val="FootnoteText"/>
      </w:pPr>
      <w:r>
        <w:drawing>
          <wp:inline>
            <wp:extent cx="7086600" cy="10414000"/>
            <wp:effectExtent b="0" l="0" r="0" t="0"/>
            <wp:docPr descr="" id="1" name="Picture"/>
            <a:graphic>
              <a:graphicData uri="http://schemas.openxmlformats.org/drawingml/2006/picture">
                <pic:pic>
                  <pic:nvPicPr>
                    <pic:cNvPr descr="images/gernsback_mirror_patent.png" id="0" name="Picture"/>
                    <pic:cNvPicPr>
                      <a:picLocks noChangeArrowheads="1" noChangeAspect="1"/>
                    </pic:cNvPicPr>
                  </pic:nvPicPr>
                  <pic:blipFill>
                    <a:blip r:embed="rId43"/>
                    <a:stretch>
                      <a:fillRect/>
                    </a:stretch>
                  </pic:blipFill>
                  <pic:spPr bwMode="auto">
                    <a:xfrm>
                      <a:off x="0" y="0"/>
                      <a:ext cx="7086600" cy="10414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a481d0a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jpg" /><Relationship Type="http://schemas.openxmlformats.org/officeDocument/2006/relationships/image" Id="rId43" Target="media/rId43.pn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