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jpg" ContentType="image/jpeg"/>
  <Override PartName="/word/media/rId27.jpg" ContentType="image/jpeg"/>
  <Override PartName="/word/media/rId24.png" ContentType="image/png"/>
  <Override PartName="/word/media/rId28.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8"/>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29"/>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ab 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30"/>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2"/>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5"/>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7"/>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8"/>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39"/>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al,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6">
    <w:p>
      <w:pPr>
        <w:pStyle w:val="FootnoteText"/>
      </w:pPr>
      <w:r>
        <w:rPr>
          <w:rStyle w:val="FootnoteRef"/>
        </w:rPr>
        <w:footnoteRef/>
      </w:r>
      <w:r>
        <w:t xml:space="preserve">Though Gernsback claims in his autobiography that this article</w:t>
      </w:r>
      <w:r>
        <w:t xml:space="preserve"> </w:t>
      </w:r>
      <w:r>
        <w:t xml:space="preserve">“</w:t>
      </w:r>
      <w:r>
        <w:t xml:space="preserve">may have been the first to explain television in simple terms for the layman</w:t>
      </w:r>
      <w:r>
        <w:t xml:space="preserve">”</w:t>
      </w:r>
      <w:r>
        <w:t xml:space="preserve"> </w:t>
      </w:r>
      <w:r>
        <w:t xml:space="preserve">(64),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Beitrage zum Problem des elektrischen Fernsehen</w:t>
      </w:r>
      <w:r>
        <w:t xml:space="preserve"> </w:t>
      </w:r>
      <w:r>
        <w:t xml:space="preserve">[Contributions to the Problem of Electrical Television]. For more on the 19th century origins of electric image scanning techniques, see Kittler, Friedrich.</w:t>
      </w:r>
      <w:r>
        <w:t xml:space="preserve"> </w:t>
      </w:r>
      <w:r>
        <w:rPr>
          <w:i/>
        </w:rPr>
        <w:t xml:space="preserve">Optical Media: Berlin Lectures 1999.</w:t>
      </w:r>
      <w:r>
        <w:t xml:space="preserve"> </w:t>
      </w:r>
      <w:r>
        <w:t xml:space="preserve">Trans. Anthony Enns. Cambridge: Polity Press, 2002. pp. 208-12. Further explications of the principle of television for a popular audience in the German context can be found in the writings of the technologist Eugen Nesper,</w:t>
      </w:r>
      <w:r>
        <w:t xml:space="preserve"> </w:t>
      </w:r>
      <w:r>
        <w:rPr>
          <w:i/>
        </w:rPr>
        <w:t xml:space="preserve">Das elektrische Fernsehen und das Telehor</w:t>
      </w:r>
      <w:r>
        <w:t xml:space="preserve"> </w:t>
      </w:r>
      <w:r>
        <w:t xml:space="preserve">(Berlin: Verlag von M. Krayn, 1923).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7531100" cy="523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7"/>
                    <a:stretch>
                      <a:fillRect/>
                    </a:stretch>
                  </pic:blipFill>
                  <pic:spPr bwMode="auto">
                    <a:xfrm>
                      <a:off x="0" y="0"/>
                      <a:ext cx="7531100" cy="5232400"/>
                    </a:xfrm>
                    <a:prstGeom prst="rect">
                      <a:avLst/>
                    </a:prstGeom>
                    <a:noFill/>
                    <a:ln w="9525">
                      <a:noFill/>
                      <a:headEnd/>
                      <a:tailEnd/>
                    </a:ln>
                  </pic:spPr>
                </pic:pic>
              </a:graphicData>
            </a:graphic>
          </wp:inline>
        </w:drawing>
      </w:r>
      <w:r>
        <w:t xml:space="preserve"> </w:t>
      </w:r>
    </w:p>
  </w:footnote>
  <w:footnote w:id="29">
    <w:p>
      <w:pPr>
        <w:pStyle w:val="FootnoteText"/>
      </w:pPr>
      <w:r>
        <w:rPr>
          <w:rStyle w:val="FootnoteRef"/>
        </w:rPr>
        <w:footnoteRef/>
      </w:r>
      <w:r>
        <w:t xml:space="preserve">The greatest benefit of this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30">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1">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2">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3">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6832600" cy="93599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4"/>
                    <a:stretch>
                      <a:fillRect/>
                    </a:stretch>
                  </pic:blipFill>
                  <pic:spPr bwMode="auto">
                    <a:xfrm>
                      <a:off x="0" y="0"/>
                      <a:ext cx="6832600" cy="9359900"/>
                    </a:xfrm>
                    <a:prstGeom prst="rect">
                      <a:avLst/>
                    </a:prstGeom>
                    <a:noFill/>
                    <a:ln w="9525">
                      <a:noFill/>
                      <a:headEnd/>
                      <a:tailEnd/>
                    </a:ln>
                  </pic:spPr>
                </pic:pic>
              </a:graphicData>
            </a:graphic>
          </wp:inline>
        </w:drawing>
      </w:r>
      <w:r>
        <w:t xml:space="preserve"> </w:t>
      </w:r>
    </w:p>
  </w:footnote>
  <w:footnote w:id="35">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6">
        <w:r>
          <w:rPr>
            <w:rStyle w:val="Link"/>
          </w:rPr>
          <w:t xml:space="preserve">http://paperspast.natlib.govt.nz/cgi-bin/paperspast?a=d&amp;d=EP19100226.2.111&amp;e=-------10--1----0--</w:t>
        </w:r>
      </w:hyperlink>
      <w:r>
        <w:t xml:space="preserve"/>
      </w:r>
      <w:r>
        <w:t xml:space="preserve">.</w:t>
      </w:r>
    </w:p>
  </w:footnote>
</w:footnotes>
</file>

<file path=word/numbering.xml><?xml version="1.0" encoding="utf-8"?>
<w:numbering xmlns:w="http://schemas.openxmlformats.org/wordprocessingml/2006/main">
  <w:abstractNum w:abstractNumId="0">
    <w:nsid w:val="595eec0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jp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